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64" w:rsidRDefault="00D20E64" w:rsidP="00D20E64">
      <w:pPr>
        <w:pStyle w:val="Default"/>
      </w:pPr>
      <w:bookmarkStart w:id="0" w:name="_GoBack"/>
      <w:bookmarkEnd w:id="0"/>
    </w:p>
    <w:p w:rsidR="0022576D" w:rsidRDefault="0022576D" w:rsidP="00D20E64">
      <w:pPr>
        <w:pStyle w:val="Default"/>
      </w:pPr>
    </w:p>
    <w:tbl>
      <w:tblPr>
        <w:tblpPr w:leftFromText="180" w:rightFromText="180" w:horzAnchor="margin" w:tblpY="-804"/>
        <w:tblW w:w="9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51"/>
        <w:gridCol w:w="1835"/>
        <w:gridCol w:w="3810"/>
      </w:tblGrid>
      <w:tr w:rsidR="0022576D" w:rsidRPr="0022576D" w:rsidTr="001D5B98">
        <w:trPr>
          <w:trHeight w:val="533"/>
        </w:trPr>
        <w:tc>
          <w:tcPr>
            <w:tcW w:w="3751" w:type="dxa"/>
            <w:tcBorders>
              <w:top w:val="nil"/>
              <w:left w:val="nil"/>
              <w:bottom w:val="nil"/>
              <w:right w:val="nil"/>
            </w:tcBorders>
            <w:shd w:val="clear" w:color="auto" w:fill="auto"/>
            <w:tcMar>
              <w:top w:w="80" w:type="dxa"/>
              <w:left w:w="80" w:type="dxa"/>
              <w:bottom w:w="80" w:type="dxa"/>
              <w:right w:w="80" w:type="dxa"/>
            </w:tcMar>
          </w:tcPr>
          <w:p w:rsidR="0022576D" w:rsidRPr="0022576D" w:rsidRDefault="0022576D" w:rsidP="0022576D">
            <w:pPr>
              <w:keepNext/>
              <w:pBdr>
                <w:top w:val="nil"/>
                <w:left w:val="nil"/>
                <w:bottom w:val="nil"/>
                <w:right w:val="nil"/>
                <w:between w:val="nil"/>
                <w:bar w:val="nil"/>
              </w:pBdr>
              <w:spacing w:after="0" w:line="240" w:lineRule="auto"/>
              <w:jc w:val="center"/>
              <w:outlineLvl w:val="0"/>
              <w:rPr>
                <w:rFonts w:ascii="Arial" w:eastAsia="Calibri" w:hAnsi="Arial" w:cs="Calibri"/>
                <w:b/>
                <w:bCs/>
                <w:color w:val="000000"/>
                <w:sz w:val="24"/>
                <w:szCs w:val="24"/>
                <w:u w:color="000000"/>
                <w:bdr w:val="nil"/>
                <w:lang w:val="en-US" w:eastAsia="en-GB"/>
              </w:rPr>
            </w:pPr>
          </w:p>
          <w:p w:rsidR="0022576D" w:rsidRPr="0022576D" w:rsidRDefault="0022576D" w:rsidP="0022576D">
            <w:pPr>
              <w:keepNext/>
              <w:pBdr>
                <w:top w:val="nil"/>
                <w:left w:val="nil"/>
                <w:bottom w:val="nil"/>
                <w:right w:val="nil"/>
                <w:between w:val="nil"/>
                <w:bar w:val="nil"/>
              </w:pBdr>
              <w:spacing w:after="0" w:line="240" w:lineRule="auto"/>
              <w:jc w:val="center"/>
              <w:outlineLvl w:val="3"/>
              <w:rPr>
                <w:rFonts w:ascii="Calibri" w:eastAsia="Calibri" w:hAnsi="Calibri" w:cs="Calibri"/>
                <w:color w:val="000000"/>
                <w:u w:color="000000"/>
                <w:bdr w:val="nil"/>
                <w:lang w:eastAsia="en-GB"/>
              </w:rPr>
            </w:pPr>
            <w:r w:rsidRPr="0022576D">
              <w:rPr>
                <w:rFonts w:ascii="Arial" w:eastAsia="Calibri" w:hAnsi="Arial" w:cs="Calibri"/>
                <w:b/>
                <w:bCs/>
                <w:color w:val="000000"/>
                <w:sz w:val="24"/>
                <w:szCs w:val="24"/>
                <w:u w:color="000000"/>
                <w:bdr w:val="nil"/>
                <w:lang w:val="en-US" w:eastAsia="en-GB"/>
              </w:rPr>
              <w:t>AFRICAN UNION</w:t>
            </w:r>
          </w:p>
        </w:tc>
        <w:tc>
          <w:tcPr>
            <w:tcW w:w="1835" w:type="dxa"/>
            <w:vMerge w:val="restart"/>
            <w:tcBorders>
              <w:top w:val="nil"/>
              <w:left w:val="nil"/>
              <w:bottom w:val="single" w:sz="4" w:space="0" w:color="000000"/>
              <w:right w:val="nil"/>
            </w:tcBorders>
            <w:shd w:val="clear" w:color="auto" w:fill="auto"/>
            <w:tcMar>
              <w:top w:w="80" w:type="dxa"/>
              <w:left w:w="80" w:type="dxa"/>
              <w:bottom w:w="80" w:type="dxa"/>
              <w:right w:w="80" w:type="dxa"/>
            </w:tcMar>
          </w:tcPr>
          <w:p w:rsidR="0022576D" w:rsidRPr="0022576D" w:rsidRDefault="0022576D" w:rsidP="0022576D">
            <w:pPr>
              <w:pBdr>
                <w:top w:val="nil"/>
                <w:left w:val="nil"/>
                <w:bottom w:val="nil"/>
                <w:right w:val="nil"/>
                <w:between w:val="nil"/>
                <w:bar w:val="nil"/>
              </w:pBdr>
              <w:spacing w:after="0" w:line="240" w:lineRule="auto"/>
              <w:jc w:val="center"/>
              <w:rPr>
                <w:rFonts w:ascii="Arial" w:eastAsia="Arial" w:hAnsi="Arial" w:cs="Arial"/>
                <w:color w:val="000000"/>
                <w:sz w:val="24"/>
                <w:szCs w:val="24"/>
                <w:u w:color="000000"/>
                <w:bdr w:val="nil"/>
                <w:lang w:val="en-US" w:eastAsia="en-GB"/>
              </w:rPr>
            </w:pPr>
          </w:p>
          <w:p w:rsidR="0022576D" w:rsidRPr="0022576D" w:rsidRDefault="0022576D" w:rsidP="0022576D">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en-GB"/>
              </w:rPr>
            </w:pPr>
            <w:r w:rsidRPr="0022576D">
              <w:rPr>
                <w:rFonts w:ascii="Arial" w:eastAsia="Arial" w:hAnsi="Arial" w:cs="Arial"/>
                <w:noProof/>
                <w:color w:val="000000"/>
                <w:sz w:val="24"/>
                <w:szCs w:val="24"/>
                <w:u w:color="000000"/>
                <w:bdr w:val="nil"/>
                <w:lang w:val="en-US"/>
              </w:rPr>
              <w:drawing>
                <wp:inline distT="0" distB="0" distL="0" distR="0" wp14:anchorId="6603D2DA" wp14:editId="3BBCD148">
                  <wp:extent cx="790575" cy="67627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blip>
                          <a:stretch>
                            <a:fillRect/>
                          </a:stretch>
                        </pic:blipFill>
                        <pic:spPr>
                          <a:xfrm>
                            <a:off x="0" y="0"/>
                            <a:ext cx="790575" cy="676275"/>
                          </a:xfrm>
                          <a:prstGeom prst="rect">
                            <a:avLst/>
                          </a:prstGeom>
                          <a:ln w="12700" cap="flat">
                            <a:noFill/>
                            <a:miter lim="400000"/>
                          </a:ln>
                          <a:effectLst/>
                        </pic:spPr>
                      </pic:pic>
                    </a:graphicData>
                  </a:graphic>
                </wp:inline>
              </w:drawing>
            </w:r>
          </w:p>
        </w:tc>
        <w:tc>
          <w:tcPr>
            <w:tcW w:w="3810" w:type="dxa"/>
            <w:tcBorders>
              <w:top w:val="nil"/>
              <w:left w:val="nil"/>
              <w:bottom w:val="nil"/>
              <w:right w:val="nil"/>
            </w:tcBorders>
            <w:shd w:val="clear" w:color="auto" w:fill="auto"/>
            <w:tcMar>
              <w:top w:w="80" w:type="dxa"/>
              <w:left w:w="80" w:type="dxa"/>
              <w:bottom w:w="80" w:type="dxa"/>
              <w:right w:w="80" w:type="dxa"/>
            </w:tcMar>
          </w:tcPr>
          <w:p w:rsidR="0022576D" w:rsidRPr="0022576D" w:rsidRDefault="0022576D" w:rsidP="0022576D">
            <w:pPr>
              <w:keepNext/>
              <w:pBdr>
                <w:top w:val="nil"/>
                <w:left w:val="nil"/>
                <w:bottom w:val="nil"/>
                <w:right w:val="nil"/>
                <w:between w:val="nil"/>
                <w:bar w:val="nil"/>
              </w:pBdr>
              <w:spacing w:after="0" w:line="240" w:lineRule="auto"/>
              <w:jc w:val="center"/>
              <w:outlineLvl w:val="0"/>
              <w:rPr>
                <w:rFonts w:ascii="Arial" w:eastAsia="Arial" w:hAnsi="Arial" w:cs="Arial"/>
                <w:b/>
                <w:bCs/>
                <w:color w:val="000000"/>
                <w:sz w:val="24"/>
                <w:szCs w:val="24"/>
                <w:u w:color="000000"/>
                <w:bdr w:val="nil"/>
                <w:lang w:val="en-US" w:eastAsia="en-GB"/>
              </w:rPr>
            </w:pPr>
          </w:p>
          <w:p w:rsidR="0022576D" w:rsidRPr="0022576D" w:rsidRDefault="0022576D" w:rsidP="0022576D">
            <w:pPr>
              <w:keepNext/>
              <w:pBdr>
                <w:top w:val="nil"/>
                <w:left w:val="nil"/>
                <w:bottom w:val="nil"/>
                <w:right w:val="nil"/>
                <w:between w:val="nil"/>
                <w:bar w:val="nil"/>
              </w:pBdr>
              <w:spacing w:after="0" w:line="240" w:lineRule="auto"/>
              <w:jc w:val="center"/>
              <w:outlineLvl w:val="3"/>
              <w:rPr>
                <w:rFonts w:ascii="Calibri" w:eastAsia="Calibri" w:hAnsi="Calibri" w:cs="Calibri"/>
                <w:color w:val="000000"/>
                <w:u w:color="000000"/>
                <w:bdr w:val="nil"/>
                <w:lang w:eastAsia="en-GB"/>
              </w:rPr>
            </w:pPr>
            <w:r w:rsidRPr="0022576D">
              <w:rPr>
                <w:rFonts w:ascii="Arial" w:eastAsia="Calibri" w:hAnsi="Arial" w:cs="Calibri"/>
                <w:b/>
                <w:bCs/>
                <w:color w:val="000000"/>
                <w:sz w:val="24"/>
                <w:szCs w:val="24"/>
                <w:u w:color="000000"/>
                <w:bdr w:val="nil"/>
                <w:lang w:val="en-US" w:eastAsia="en-GB"/>
              </w:rPr>
              <w:t>UNION AFRICAINE</w:t>
            </w:r>
          </w:p>
        </w:tc>
      </w:tr>
      <w:tr w:rsidR="0022576D" w:rsidRPr="0022576D" w:rsidTr="001D5B98">
        <w:trPr>
          <w:trHeight w:val="649"/>
        </w:trPr>
        <w:tc>
          <w:tcPr>
            <w:tcW w:w="3751" w:type="dxa"/>
            <w:tcBorders>
              <w:top w:val="nil"/>
              <w:left w:val="nil"/>
              <w:bottom w:val="single" w:sz="4" w:space="0" w:color="000000"/>
              <w:right w:val="nil"/>
            </w:tcBorders>
            <w:shd w:val="clear" w:color="auto" w:fill="auto"/>
            <w:tcMar>
              <w:top w:w="80" w:type="dxa"/>
              <w:left w:w="80" w:type="dxa"/>
              <w:bottom w:w="80" w:type="dxa"/>
              <w:right w:w="80" w:type="dxa"/>
            </w:tcMar>
          </w:tcPr>
          <w:p w:rsidR="0022576D" w:rsidRPr="0022576D" w:rsidRDefault="0022576D" w:rsidP="0022576D">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en-GB"/>
              </w:rPr>
            </w:pPr>
            <w:r w:rsidRPr="0022576D">
              <w:rPr>
                <w:rFonts w:ascii="Calibri" w:eastAsia="Calibri" w:hAnsi="Calibri" w:cs="Calibri"/>
                <w:noProof/>
                <w:color w:val="000000"/>
                <w:u w:color="000000"/>
                <w:bdr w:val="nil"/>
                <w:lang w:val="en-US"/>
              </w:rPr>
              <w:drawing>
                <wp:inline distT="0" distB="0" distL="0" distR="0" wp14:anchorId="55B59A10" wp14:editId="32E428A9">
                  <wp:extent cx="1162050" cy="4000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6">
                            <a:extLst/>
                          </a:blip>
                          <a:stretch>
                            <a:fillRect/>
                          </a:stretch>
                        </pic:blipFill>
                        <pic:spPr>
                          <a:xfrm>
                            <a:off x="0" y="0"/>
                            <a:ext cx="1162050" cy="400050"/>
                          </a:xfrm>
                          <a:prstGeom prst="rect">
                            <a:avLst/>
                          </a:prstGeom>
                          <a:ln w="12700" cap="flat">
                            <a:noFill/>
                            <a:miter lim="400000"/>
                          </a:ln>
                          <a:effectLst/>
                        </pic:spPr>
                      </pic:pic>
                    </a:graphicData>
                  </a:graphic>
                </wp:inline>
              </w:drawing>
            </w:r>
          </w:p>
        </w:tc>
        <w:tc>
          <w:tcPr>
            <w:tcW w:w="1835" w:type="dxa"/>
            <w:vMerge/>
            <w:tcBorders>
              <w:top w:val="nil"/>
              <w:left w:val="nil"/>
              <w:bottom w:val="single" w:sz="4" w:space="0" w:color="000000"/>
              <w:right w:val="nil"/>
            </w:tcBorders>
            <w:shd w:val="clear" w:color="auto" w:fill="auto"/>
          </w:tcPr>
          <w:p w:rsidR="0022576D" w:rsidRPr="0022576D" w:rsidRDefault="0022576D" w:rsidP="0022576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c>
          <w:tcPr>
            <w:tcW w:w="3810" w:type="dxa"/>
            <w:tcBorders>
              <w:top w:val="nil"/>
              <w:left w:val="nil"/>
              <w:bottom w:val="single" w:sz="4" w:space="0" w:color="000000"/>
              <w:right w:val="nil"/>
            </w:tcBorders>
            <w:shd w:val="clear" w:color="auto" w:fill="auto"/>
            <w:tcMar>
              <w:top w:w="80" w:type="dxa"/>
              <w:left w:w="80" w:type="dxa"/>
              <w:bottom w:w="80" w:type="dxa"/>
              <w:right w:w="80" w:type="dxa"/>
            </w:tcMar>
          </w:tcPr>
          <w:p w:rsidR="0022576D" w:rsidRPr="0022576D" w:rsidRDefault="0022576D" w:rsidP="0022576D">
            <w:pPr>
              <w:pBdr>
                <w:top w:val="nil"/>
                <w:left w:val="nil"/>
                <w:bottom w:val="nil"/>
                <w:right w:val="nil"/>
                <w:between w:val="nil"/>
                <w:bar w:val="nil"/>
              </w:pBdr>
              <w:spacing w:after="0" w:line="240" w:lineRule="auto"/>
              <w:rPr>
                <w:rFonts w:ascii="Arial" w:eastAsia="Arial" w:hAnsi="Arial" w:cs="Arial"/>
                <w:b/>
                <w:bCs/>
                <w:color w:val="000000"/>
                <w:sz w:val="24"/>
                <w:szCs w:val="24"/>
                <w:u w:color="000000"/>
                <w:bdr w:val="nil"/>
                <w:lang w:val="en-US" w:eastAsia="en-GB"/>
              </w:rPr>
            </w:pPr>
          </w:p>
          <w:p w:rsidR="0022576D" w:rsidRPr="0022576D" w:rsidRDefault="0022576D" w:rsidP="0022576D">
            <w:pPr>
              <w:keepNext/>
              <w:pBdr>
                <w:top w:val="nil"/>
                <w:left w:val="nil"/>
                <w:bottom w:val="nil"/>
                <w:right w:val="nil"/>
                <w:between w:val="nil"/>
                <w:bar w:val="nil"/>
              </w:pBdr>
              <w:spacing w:after="0" w:line="240" w:lineRule="auto"/>
              <w:jc w:val="center"/>
              <w:outlineLvl w:val="3"/>
              <w:rPr>
                <w:rFonts w:ascii="Calibri" w:eastAsia="Calibri" w:hAnsi="Calibri" w:cs="Calibri"/>
                <w:color w:val="000000"/>
                <w:u w:color="000000"/>
                <w:bdr w:val="nil"/>
                <w:lang w:eastAsia="en-GB"/>
              </w:rPr>
            </w:pPr>
            <w:r w:rsidRPr="0022576D">
              <w:rPr>
                <w:rFonts w:ascii="Arial" w:eastAsia="Calibri" w:hAnsi="Arial" w:cs="Calibri"/>
                <w:b/>
                <w:bCs/>
                <w:color w:val="000000"/>
                <w:sz w:val="24"/>
                <w:szCs w:val="24"/>
                <w:u w:color="000000"/>
                <w:bdr w:val="nil"/>
                <w:lang w:val="en-US" w:eastAsia="en-GB"/>
              </w:rPr>
              <w:t>UNIÃO AFRICANA</w:t>
            </w:r>
          </w:p>
        </w:tc>
      </w:tr>
      <w:tr w:rsidR="0022576D" w:rsidRPr="0022576D" w:rsidTr="001D5B98">
        <w:trPr>
          <w:trHeight w:val="137"/>
        </w:trPr>
        <w:tc>
          <w:tcPr>
            <w:tcW w:w="9396"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22576D" w:rsidRPr="0022576D" w:rsidRDefault="0022576D" w:rsidP="0022576D">
            <w:pPr>
              <w:keepNext/>
              <w:pBdr>
                <w:top w:val="nil"/>
                <w:left w:val="nil"/>
                <w:bottom w:val="nil"/>
                <w:right w:val="nil"/>
                <w:between w:val="nil"/>
                <w:bar w:val="nil"/>
              </w:pBdr>
              <w:spacing w:after="0" w:line="240" w:lineRule="auto"/>
              <w:jc w:val="center"/>
              <w:outlineLvl w:val="4"/>
              <w:rPr>
                <w:rFonts w:ascii="Calibri" w:eastAsia="Calibri" w:hAnsi="Calibri" w:cs="Calibri"/>
                <w:color w:val="000000"/>
                <w:u w:color="000000"/>
                <w:bdr w:val="nil"/>
                <w:lang w:eastAsia="en-GB"/>
              </w:rPr>
            </w:pPr>
            <w:r w:rsidRPr="0022576D">
              <w:rPr>
                <w:rFonts w:ascii="Arial" w:eastAsia="Calibri" w:hAnsi="Arial" w:cs="Calibri"/>
                <w:color w:val="000000"/>
                <w:sz w:val="14"/>
                <w:szCs w:val="14"/>
                <w:u w:color="000000"/>
                <w:bdr w:val="nil"/>
                <w:lang w:val="en-US" w:eastAsia="en-GB"/>
              </w:rPr>
              <w:t>Addis Ababa, ETHIOPIA       P. O. Box 3243      Tele:  +251-115 517 700    Fax: +251-11-5 5178</w:t>
            </w:r>
            <w:r>
              <w:rPr>
                <w:rFonts w:ascii="Arial" w:eastAsia="Calibri" w:hAnsi="Arial" w:cs="Calibri"/>
                <w:color w:val="000000"/>
                <w:sz w:val="14"/>
                <w:szCs w:val="14"/>
                <w:u w:color="000000"/>
                <w:bdr w:val="nil"/>
                <w:lang w:val="en-US" w:eastAsia="en-GB"/>
              </w:rPr>
              <w:t>44 Website: www.au.int</w:t>
            </w:r>
          </w:p>
        </w:tc>
      </w:tr>
    </w:tbl>
    <w:p w:rsidR="0022576D" w:rsidRPr="0022576D" w:rsidRDefault="0022576D" w:rsidP="00CC40A5">
      <w:pPr>
        <w:pBdr>
          <w:top w:val="nil"/>
          <w:left w:val="nil"/>
          <w:bottom w:val="nil"/>
          <w:right w:val="nil"/>
          <w:between w:val="nil"/>
          <w:bar w:val="nil"/>
        </w:pBdr>
        <w:spacing w:after="0" w:line="240" w:lineRule="auto"/>
        <w:rPr>
          <w:rFonts w:ascii="Arial" w:eastAsia="Arial" w:hAnsi="Arial" w:cs="Arial"/>
          <w:color w:val="000000"/>
          <w:sz w:val="24"/>
          <w:szCs w:val="24"/>
          <w:u w:color="000000"/>
          <w:bdr w:val="nil"/>
          <w:lang w:eastAsia="en-GB"/>
        </w:rPr>
      </w:pPr>
    </w:p>
    <w:p w:rsidR="0022576D" w:rsidRDefault="0022576D" w:rsidP="00D20E64">
      <w:pPr>
        <w:pStyle w:val="Default"/>
      </w:pPr>
    </w:p>
    <w:p w:rsidR="00D20E64" w:rsidRPr="00CC40A5" w:rsidRDefault="00CC40A5" w:rsidP="0022576D">
      <w:pPr>
        <w:pStyle w:val="Default"/>
        <w:spacing w:line="276" w:lineRule="auto"/>
        <w:jc w:val="both"/>
      </w:pPr>
      <w:r w:rsidRPr="00CC40A5">
        <w:t xml:space="preserve">                </w:t>
      </w:r>
      <w:r w:rsidR="00D20E64" w:rsidRPr="00CC40A5">
        <w:t xml:space="preserve"> </w:t>
      </w:r>
      <w:r w:rsidR="00D20E64" w:rsidRPr="00CC40A5">
        <w:rPr>
          <w:b/>
          <w:bCs/>
        </w:rPr>
        <w:t xml:space="preserve">CALL FOR PROPOSAL – INDIVIDUAL CONSULTANT </w:t>
      </w:r>
    </w:p>
    <w:p w:rsidR="00CC40A5" w:rsidRPr="00CC40A5" w:rsidRDefault="00D20E64" w:rsidP="0022576D">
      <w:pPr>
        <w:pStyle w:val="Default"/>
        <w:spacing w:line="276" w:lineRule="auto"/>
        <w:jc w:val="both"/>
        <w:rPr>
          <w:b/>
          <w:bCs/>
        </w:rPr>
      </w:pPr>
      <w:r w:rsidRPr="00CC40A5">
        <w:rPr>
          <w:b/>
          <w:bCs/>
        </w:rPr>
        <w:t xml:space="preserve">FOR CONSULTANCY SERVICE TO PREPARE </w:t>
      </w:r>
      <w:r w:rsidR="00F861B9" w:rsidRPr="00CC40A5">
        <w:rPr>
          <w:b/>
          <w:bCs/>
        </w:rPr>
        <w:t xml:space="preserve">THE CONTINENTAL NUTRITION </w:t>
      </w:r>
      <w:r w:rsidR="00CC40A5" w:rsidRPr="00CC40A5">
        <w:rPr>
          <w:b/>
          <w:bCs/>
        </w:rPr>
        <w:t xml:space="preserve">    </w:t>
      </w:r>
    </w:p>
    <w:p w:rsidR="00D20E64" w:rsidRPr="00CC40A5" w:rsidRDefault="00CC40A5" w:rsidP="0022576D">
      <w:pPr>
        <w:pStyle w:val="Default"/>
        <w:spacing w:line="276" w:lineRule="auto"/>
        <w:jc w:val="both"/>
      </w:pPr>
      <w:r w:rsidRPr="00CC40A5">
        <w:rPr>
          <w:b/>
          <w:bCs/>
        </w:rPr>
        <w:t xml:space="preserve">                                                  </w:t>
      </w:r>
      <w:r>
        <w:rPr>
          <w:b/>
          <w:bCs/>
        </w:rPr>
        <w:t xml:space="preserve">    </w:t>
      </w:r>
      <w:r w:rsidRPr="00CC40A5">
        <w:rPr>
          <w:b/>
          <w:bCs/>
        </w:rPr>
        <w:t xml:space="preserve"> </w:t>
      </w:r>
      <w:r w:rsidR="00F861B9" w:rsidRPr="00CC40A5">
        <w:rPr>
          <w:b/>
          <w:bCs/>
        </w:rPr>
        <w:t>REPORT</w:t>
      </w:r>
      <w:r w:rsidR="00D20E64" w:rsidRPr="00CC40A5">
        <w:rPr>
          <w:b/>
          <w:bCs/>
        </w:rPr>
        <w:t xml:space="preserve"> </w:t>
      </w:r>
    </w:p>
    <w:p w:rsidR="00D20E64" w:rsidRPr="0022576D" w:rsidRDefault="00D20E64" w:rsidP="0022576D">
      <w:pPr>
        <w:pStyle w:val="Default"/>
        <w:spacing w:line="276" w:lineRule="auto"/>
        <w:jc w:val="both"/>
      </w:pPr>
      <w:r w:rsidRPr="0022576D">
        <w:rPr>
          <w:b/>
          <w:bCs/>
        </w:rPr>
        <w:t xml:space="preserve"> </w:t>
      </w:r>
    </w:p>
    <w:p w:rsidR="00D20E64" w:rsidRPr="0022576D" w:rsidRDefault="00F861B9" w:rsidP="007706F1">
      <w:pPr>
        <w:pStyle w:val="Default"/>
        <w:spacing w:line="276" w:lineRule="auto"/>
        <w:jc w:val="center"/>
      </w:pPr>
      <w:r w:rsidRPr="0022576D">
        <w:rPr>
          <w:b/>
          <w:bCs/>
        </w:rPr>
        <w:t xml:space="preserve">Reference No.: </w:t>
      </w:r>
      <w:r w:rsidR="00E351F8" w:rsidRPr="00E351F8">
        <w:rPr>
          <w:b/>
          <w:bCs/>
        </w:rPr>
        <w:t>AUC/DSA/C/010</w:t>
      </w:r>
    </w:p>
    <w:p w:rsidR="00F861B9" w:rsidRPr="0022576D" w:rsidRDefault="00F861B9" w:rsidP="0022576D">
      <w:pPr>
        <w:pStyle w:val="Default"/>
        <w:spacing w:line="276" w:lineRule="auto"/>
        <w:jc w:val="both"/>
        <w:rPr>
          <w:b/>
          <w:bCs/>
        </w:rPr>
      </w:pPr>
    </w:p>
    <w:p w:rsidR="00D20E64" w:rsidRPr="0022576D" w:rsidRDefault="00D20E64" w:rsidP="0022576D">
      <w:pPr>
        <w:pStyle w:val="Default"/>
        <w:spacing w:line="276" w:lineRule="auto"/>
        <w:jc w:val="both"/>
      </w:pPr>
      <w:r w:rsidRPr="0022576D">
        <w:rPr>
          <w:b/>
          <w:bCs/>
        </w:rPr>
        <w:t xml:space="preserve">INTRODUCTION </w:t>
      </w:r>
    </w:p>
    <w:p w:rsidR="00F861B9" w:rsidRPr="0022576D" w:rsidRDefault="00F861B9" w:rsidP="0022576D">
      <w:pPr>
        <w:pStyle w:val="Default"/>
        <w:spacing w:line="276" w:lineRule="auto"/>
        <w:jc w:val="both"/>
      </w:pPr>
    </w:p>
    <w:p w:rsidR="007706F1" w:rsidRDefault="00D20E64" w:rsidP="007706F1">
      <w:pPr>
        <w:pStyle w:val="Default"/>
        <w:spacing w:line="276" w:lineRule="auto"/>
        <w:jc w:val="both"/>
      </w:pPr>
      <w:r w:rsidRPr="0022576D">
        <w:t xml:space="preserve">The African Union (AU) was established as a unique Pan African continental body, charged with spearheading Africa’s rapid integration and sustainable development by promoting unity, solidarity, cohesion and cooperation among the peoples of Africa and African States as well as developing a New Partnership worldwide. Its Headquarters is located in Addis Ababa, capital city of Ethiopia. </w:t>
      </w:r>
    </w:p>
    <w:p w:rsidR="00D20E64" w:rsidRDefault="00D20E64" w:rsidP="007706F1">
      <w:pPr>
        <w:pStyle w:val="Default"/>
        <w:spacing w:line="276" w:lineRule="auto"/>
        <w:jc w:val="both"/>
      </w:pPr>
    </w:p>
    <w:p w:rsidR="00E351F8" w:rsidRPr="0022576D" w:rsidRDefault="00E351F8" w:rsidP="0022576D">
      <w:pPr>
        <w:pStyle w:val="Default"/>
        <w:spacing w:line="276" w:lineRule="auto"/>
        <w:jc w:val="both"/>
      </w:pPr>
    </w:p>
    <w:p w:rsidR="00D20E64" w:rsidRDefault="00D20E64" w:rsidP="0022576D">
      <w:pPr>
        <w:pStyle w:val="Default"/>
        <w:spacing w:line="276" w:lineRule="auto"/>
        <w:jc w:val="both"/>
      </w:pPr>
      <w:r w:rsidRPr="0022576D">
        <w:t xml:space="preserve">The African Union Commission (AUC) is the secretariat of the AU and is the key organ playing a central role in the day-to-day management of the AU. </w:t>
      </w:r>
    </w:p>
    <w:p w:rsidR="00E351F8" w:rsidRPr="0022576D" w:rsidRDefault="00E351F8" w:rsidP="0022576D">
      <w:pPr>
        <w:pStyle w:val="Default"/>
        <w:spacing w:line="276" w:lineRule="auto"/>
        <w:jc w:val="both"/>
      </w:pPr>
    </w:p>
    <w:p w:rsidR="00D20E64" w:rsidRPr="0022576D" w:rsidRDefault="00D20E64" w:rsidP="0022576D">
      <w:pPr>
        <w:pStyle w:val="Default"/>
        <w:spacing w:line="276" w:lineRule="auto"/>
        <w:jc w:val="both"/>
      </w:pPr>
      <w:r w:rsidRPr="0022576D">
        <w:t xml:space="preserve">The AU is funded from assessed contribution from the 55 Member states and funds from Institutional Partners for specific projects in line with its Strategic Plan and agreed priorities with the partners. </w:t>
      </w:r>
    </w:p>
    <w:p w:rsidR="00F861B9" w:rsidRPr="0022576D" w:rsidRDefault="00F861B9" w:rsidP="0022576D">
      <w:pPr>
        <w:pStyle w:val="Default"/>
        <w:spacing w:line="276" w:lineRule="auto"/>
        <w:jc w:val="both"/>
        <w:rPr>
          <w:b/>
          <w:bCs/>
        </w:rPr>
      </w:pPr>
    </w:p>
    <w:p w:rsidR="00D20E64" w:rsidRPr="0022576D" w:rsidRDefault="00D20E64" w:rsidP="0022576D">
      <w:pPr>
        <w:pStyle w:val="Default"/>
        <w:spacing w:line="276" w:lineRule="auto"/>
        <w:jc w:val="both"/>
      </w:pPr>
      <w:r w:rsidRPr="0022576D">
        <w:rPr>
          <w:b/>
          <w:bCs/>
        </w:rPr>
        <w:t xml:space="preserve">BACKGROUND </w:t>
      </w:r>
    </w:p>
    <w:p w:rsidR="008234FF" w:rsidRPr="0022576D" w:rsidRDefault="008234FF" w:rsidP="0022576D">
      <w:pPr>
        <w:pStyle w:val="Default"/>
        <w:spacing w:line="276" w:lineRule="auto"/>
        <w:jc w:val="both"/>
      </w:pPr>
    </w:p>
    <w:p w:rsidR="008234FF" w:rsidRPr="0022576D" w:rsidRDefault="008234FF" w:rsidP="0022576D">
      <w:pPr>
        <w:autoSpaceDE w:val="0"/>
        <w:autoSpaceDN w:val="0"/>
        <w:adjustRightInd w:val="0"/>
        <w:spacing w:after="0" w:line="276" w:lineRule="auto"/>
        <w:jc w:val="both"/>
        <w:rPr>
          <w:rFonts w:ascii="Arial" w:eastAsia="Arial Unicode MS" w:hAnsi="Arial" w:cs="Arial"/>
          <w:i/>
          <w:sz w:val="24"/>
          <w:szCs w:val="24"/>
          <w:bdr w:val="nil"/>
          <w:lang w:val="en-US"/>
        </w:rPr>
      </w:pPr>
      <w:r w:rsidRPr="0022576D">
        <w:rPr>
          <w:rFonts w:ascii="Arial" w:eastAsia="Arial Unicode MS" w:hAnsi="Arial" w:cs="Arial"/>
          <w:i/>
          <w:sz w:val="24"/>
          <w:szCs w:val="24"/>
          <w:bdr w:val="nil"/>
          <w:lang w:val="en-US"/>
        </w:rPr>
        <w:t>The Constitutive Act of the African Union in its Objectives, Article (3) (d) “…promote and defend African common positions on issues of interest to the continent and its peoples…” The 50th Anniversary Declaration, in Paragraph (5), The Heads of State and Government, in emphasizing Africa’s place in the world noted that “…our endeavor for Africa is to take her rightful place in political, security, economic and social systems of global governance towards the realization of its renaissance and establishing Africa as a leading continent…”; and further reiterate to “…advance international cooperation that promotes and protects interests, that is mutually beneficial and aligned to Pan African Vision…”; “…further emphasizes that Africa should continue to speak with one voice and act collectively to promote our common interests and positions in international arena…”.</w:t>
      </w:r>
    </w:p>
    <w:p w:rsidR="008234FF" w:rsidRPr="0022576D" w:rsidRDefault="008234FF" w:rsidP="0022576D">
      <w:pPr>
        <w:tabs>
          <w:tab w:val="num" w:pos="1370"/>
        </w:tabs>
        <w:spacing w:after="0" w:line="276" w:lineRule="auto"/>
        <w:jc w:val="both"/>
        <w:rPr>
          <w:rFonts w:ascii="Arial" w:hAnsi="Arial" w:cs="Arial"/>
          <w:i/>
          <w:iCs/>
          <w:sz w:val="24"/>
          <w:szCs w:val="24"/>
        </w:rPr>
      </w:pPr>
    </w:p>
    <w:p w:rsidR="008234FF" w:rsidRPr="0022576D" w:rsidRDefault="008234FF" w:rsidP="0022576D">
      <w:pPr>
        <w:tabs>
          <w:tab w:val="num" w:pos="1370"/>
        </w:tabs>
        <w:spacing w:after="0" w:line="276" w:lineRule="auto"/>
        <w:jc w:val="both"/>
        <w:rPr>
          <w:rFonts w:ascii="Arial" w:eastAsia="Arial Unicode MS" w:hAnsi="Arial" w:cs="Arial"/>
          <w:sz w:val="24"/>
          <w:szCs w:val="24"/>
          <w:bdr w:val="nil"/>
          <w:lang w:val="en-US"/>
        </w:rPr>
      </w:pPr>
      <w:r w:rsidRPr="0022576D">
        <w:rPr>
          <w:rFonts w:ascii="Arial" w:eastAsia="Arial Unicode MS" w:hAnsi="Arial" w:cs="Arial"/>
          <w:sz w:val="24"/>
          <w:szCs w:val="24"/>
          <w:bdr w:val="nil"/>
          <w:lang w:val="en-US"/>
        </w:rPr>
        <w:lastRenderedPageBreak/>
        <w:t>In June 2018 the 10th  African Task Force on Food and Nutrition Development (ATFFND)  was held in Burundi</w:t>
      </w:r>
      <w:r w:rsidR="002210A0">
        <w:rPr>
          <w:rFonts w:ascii="Arial" w:eastAsia="Arial Unicode MS" w:hAnsi="Arial" w:cs="Arial"/>
          <w:sz w:val="24"/>
          <w:szCs w:val="24"/>
          <w:bdr w:val="nil"/>
          <w:lang w:val="en-US"/>
        </w:rPr>
        <w:t>,</w:t>
      </w:r>
      <w:r w:rsidRPr="0022576D">
        <w:rPr>
          <w:rFonts w:ascii="Arial" w:eastAsia="Arial Unicode MS" w:hAnsi="Arial" w:cs="Arial"/>
          <w:sz w:val="24"/>
          <w:szCs w:val="24"/>
          <w:bdr w:val="nil"/>
          <w:lang w:val="en-US"/>
        </w:rPr>
        <w:t xml:space="preserve"> Bujumbura, following deliberations one of the recommendations was that Member States  produce national reports on Nutrition that are submitted to the AUC, to facilitate the production of a continental report on Nutrition.</w:t>
      </w:r>
    </w:p>
    <w:p w:rsidR="008234FF" w:rsidRPr="0022576D" w:rsidRDefault="008234FF" w:rsidP="0022576D">
      <w:pPr>
        <w:pStyle w:val="Default"/>
        <w:spacing w:line="276" w:lineRule="auto"/>
        <w:jc w:val="both"/>
      </w:pPr>
    </w:p>
    <w:p w:rsidR="00D20E64" w:rsidRDefault="007F1227" w:rsidP="0022576D">
      <w:pPr>
        <w:pStyle w:val="Default"/>
        <w:spacing w:line="276" w:lineRule="auto"/>
        <w:jc w:val="both"/>
      </w:pPr>
      <w:r w:rsidRPr="0022576D">
        <w:t>The Commission is</w:t>
      </w:r>
      <w:r w:rsidR="00D20E64" w:rsidRPr="0022576D">
        <w:t xml:space="preserve"> u</w:t>
      </w:r>
      <w:r w:rsidR="00F10C07" w:rsidRPr="0022576D">
        <w:t xml:space="preserve">ndertaking </w:t>
      </w:r>
      <w:r w:rsidR="002210A0">
        <w:t xml:space="preserve">a consultative process for </w:t>
      </w:r>
      <w:r w:rsidR="00F10C07" w:rsidRPr="0022576D">
        <w:t>the development of a</w:t>
      </w:r>
      <w:r w:rsidR="008234FF" w:rsidRPr="0022576D">
        <w:t xml:space="preserve"> Continental Nutrition Report</w:t>
      </w:r>
      <w:r w:rsidR="002210A0">
        <w:t>. T</w:t>
      </w:r>
      <w:r w:rsidR="00D20E64" w:rsidRPr="0022576D">
        <w:t>o this end, a consultant, would be recruited to</w:t>
      </w:r>
      <w:r w:rsidRPr="0022576D">
        <w:t xml:space="preserve"> </w:t>
      </w:r>
      <w:r w:rsidR="002210A0">
        <w:t xml:space="preserve">undertake assessment of existing nutrition report and accountability framework in the continent, identify gaps and propose way forward for the </w:t>
      </w:r>
      <w:r w:rsidRPr="0022576D">
        <w:t>develop</w:t>
      </w:r>
      <w:r w:rsidR="002210A0">
        <w:t>ment of</w:t>
      </w:r>
      <w:r w:rsidRPr="0022576D">
        <w:t xml:space="preserve"> a report on Nutrition related issues</w:t>
      </w:r>
      <w:r w:rsidR="00D20E64" w:rsidRPr="0022576D">
        <w:t xml:space="preserve"> </w:t>
      </w:r>
      <w:r w:rsidR="002210A0">
        <w:t xml:space="preserve">under the guidance of </w:t>
      </w:r>
      <w:r w:rsidR="00D20E64" w:rsidRPr="0022576D">
        <w:t>AUC Department of Social Affairs</w:t>
      </w:r>
      <w:r w:rsidR="002210A0">
        <w:t xml:space="preserve"> </w:t>
      </w:r>
      <w:r w:rsidR="002210A0" w:rsidRPr="0022576D">
        <w:t xml:space="preserve">in collaboration with </w:t>
      </w:r>
      <w:r w:rsidR="002210A0">
        <w:t>AUDA and other AU departments</w:t>
      </w:r>
      <w:r w:rsidR="00D20E64" w:rsidRPr="0022576D">
        <w:t xml:space="preserve">. </w:t>
      </w:r>
    </w:p>
    <w:p w:rsidR="0022576D" w:rsidRDefault="0022576D" w:rsidP="0022576D">
      <w:pPr>
        <w:pStyle w:val="Default"/>
        <w:spacing w:line="276" w:lineRule="auto"/>
        <w:jc w:val="both"/>
      </w:pPr>
    </w:p>
    <w:p w:rsidR="0022576D" w:rsidRDefault="0022576D" w:rsidP="0022576D">
      <w:pPr>
        <w:pStyle w:val="Default"/>
        <w:spacing w:line="276" w:lineRule="auto"/>
        <w:jc w:val="both"/>
      </w:pPr>
    </w:p>
    <w:p w:rsidR="0022576D" w:rsidRPr="0022576D" w:rsidRDefault="0022576D" w:rsidP="0022576D">
      <w:pPr>
        <w:pStyle w:val="Default"/>
      </w:pPr>
      <w:r w:rsidRPr="0022576D">
        <w:rPr>
          <w:b/>
          <w:bCs/>
        </w:rPr>
        <w:t xml:space="preserve">OBJECTIVES OF THE ASSIGNEMENT </w:t>
      </w:r>
    </w:p>
    <w:p w:rsidR="0022576D" w:rsidRPr="0022576D" w:rsidRDefault="0022576D" w:rsidP="0022576D">
      <w:pPr>
        <w:pStyle w:val="Default"/>
      </w:pPr>
    </w:p>
    <w:p w:rsidR="0022576D" w:rsidRPr="0022576D" w:rsidRDefault="0022576D" w:rsidP="00760FF0">
      <w:pPr>
        <w:pStyle w:val="Default"/>
        <w:jc w:val="both"/>
      </w:pPr>
      <w:r w:rsidRPr="0022576D">
        <w:t>A publishable analytical Continental report on Nutrition with executive summary underlying the critical need for a common position on nutrition issues in Africa. The Nutrition Report shall be submitted to the Department of Social Affairs for inputs and comments. The Department of Social Affairs will also circulate the draft to relevant departments of the AUC for similar comments/inputs following which the department will hold a consultation with member states on the common position. Then, the Consultant will finalize the draft by incorporating all the inputs from different partners and stakeholders</w:t>
      </w:r>
      <w:r w:rsidR="001D5B98">
        <w:t xml:space="preserve">. </w:t>
      </w:r>
      <w:r w:rsidRPr="0022576D">
        <w:t xml:space="preserve"> </w:t>
      </w:r>
    </w:p>
    <w:p w:rsidR="0022576D" w:rsidRPr="0022576D" w:rsidRDefault="0022576D" w:rsidP="0022576D">
      <w:pPr>
        <w:pStyle w:val="Default"/>
        <w:rPr>
          <w:b/>
          <w:bCs/>
        </w:rPr>
      </w:pPr>
    </w:p>
    <w:p w:rsidR="0022576D" w:rsidRPr="0022576D" w:rsidRDefault="0022576D" w:rsidP="0022576D">
      <w:pPr>
        <w:pStyle w:val="Default"/>
      </w:pPr>
      <w:r w:rsidRPr="0022576D">
        <w:rPr>
          <w:b/>
          <w:bCs/>
        </w:rPr>
        <w:t xml:space="preserve">SCOPE OF ASSIGNMENT </w:t>
      </w:r>
    </w:p>
    <w:p w:rsidR="0022576D" w:rsidRPr="0022576D" w:rsidRDefault="0022576D" w:rsidP="0022576D">
      <w:pPr>
        <w:pStyle w:val="Default"/>
      </w:pPr>
    </w:p>
    <w:p w:rsidR="0022576D" w:rsidRPr="0022576D" w:rsidRDefault="0022576D" w:rsidP="0022576D">
      <w:pPr>
        <w:pStyle w:val="Default"/>
        <w:rPr>
          <w:i/>
          <w:iCs/>
        </w:rPr>
      </w:pPr>
      <w:r w:rsidRPr="0022576D">
        <w:t xml:space="preserve">The work requires a consultant to compile a Continental report on Nutrition </w:t>
      </w:r>
      <w:r w:rsidR="00784D89">
        <w:t xml:space="preserve">and Food Security </w:t>
      </w:r>
      <w:r w:rsidRPr="0022576D">
        <w:rPr>
          <w:i/>
          <w:iCs/>
        </w:rPr>
        <w:t>‘</w:t>
      </w:r>
    </w:p>
    <w:p w:rsidR="0022576D" w:rsidRDefault="0022576D" w:rsidP="0022576D">
      <w:pPr>
        <w:pStyle w:val="Default"/>
      </w:pPr>
      <w:r w:rsidRPr="0022576D">
        <w:t xml:space="preserve">Consultant is required to: </w:t>
      </w:r>
    </w:p>
    <w:p w:rsidR="006512F7" w:rsidRDefault="006512F7" w:rsidP="0022576D">
      <w:pPr>
        <w:pStyle w:val="Default"/>
      </w:pPr>
    </w:p>
    <w:p w:rsidR="006512F7" w:rsidRDefault="006512F7" w:rsidP="006512F7">
      <w:pPr>
        <w:pStyle w:val="Default"/>
      </w:pPr>
      <w:r>
        <w:t>1</w:t>
      </w:r>
      <w:r w:rsidRPr="0022576D">
        <w:t xml:space="preserve">. </w:t>
      </w:r>
      <w:r>
        <w:t xml:space="preserve">Identify and review existing regional and global nutrition reports and accountability mechanisms that concern Africa region </w:t>
      </w:r>
    </w:p>
    <w:p w:rsidR="006512F7" w:rsidRPr="0022576D" w:rsidRDefault="006512F7" w:rsidP="006512F7">
      <w:pPr>
        <w:pStyle w:val="Default"/>
        <w:numPr>
          <w:ilvl w:val="0"/>
          <w:numId w:val="23"/>
        </w:numPr>
      </w:pPr>
      <w:r w:rsidRPr="0022576D">
        <w:t xml:space="preserve">By Region </w:t>
      </w:r>
      <w:r>
        <w:t>or RECs</w:t>
      </w:r>
    </w:p>
    <w:p w:rsidR="006512F7" w:rsidRDefault="006512F7" w:rsidP="006512F7">
      <w:pPr>
        <w:pStyle w:val="Default"/>
        <w:numPr>
          <w:ilvl w:val="0"/>
          <w:numId w:val="23"/>
        </w:numPr>
      </w:pPr>
      <w:r w:rsidRPr="0022576D">
        <w:t xml:space="preserve">At Continental level </w:t>
      </w:r>
    </w:p>
    <w:p w:rsidR="006512F7" w:rsidRPr="0022576D" w:rsidRDefault="006512F7" w:rsidP="006512F7">
      <w:pPr>
        <w:pStyle w:val="Default"/>
        <w:numPr>
          <w:ilvl w:val="0"/>
          <w:numId w:val="23"/>
        </w:numPr>
      </w:pPr>
      <w:r>
        <w:t xml:space="preserve">At </w:t>
      </w:r>
      <w:r w:rsidR="00FD16B9">
        <w:t xml:space="preserve">Global level </w:t>
      </w:r>
      <w:r>
        <w:t xml:space="preserve"> </w:t>
      </w:r>
    </w:p>
    <w:p w:rsidR="006512F7" w:rsidRPr="0022576D" w:rsidRDefault="006512F7" w:rsidP="0022576D">
      <w:pPr>
        <w:pStyle w:val="Default"/>
      </w:pPr>
    </w:p>
    <w:p w:rsidR="006512F7" w:rsidRPr="0022576D" w:rsidRDefault="006512F7" w:rsidP="006512F7">
      <w:pPr>
        <w:pStyle w:val="Default"/>
        <w:ind w:left="270" w:hanging="270"/>
      </w:pPr>
      <w:r>
        <w:t xml:space="preserve">2. </w:t>
      </w:r>
      <w:r w:rsidR="0022576D" w:rsidRPr="0022576D">
        <w:t xml:space="preserve">Identify </w:t>
      </w:r>
      <w:r w:rsidRPr="0022576D">
        <w:t xml:space="preserve">Nutrition issues that are of concern to member states: </w:t>
      </w:r>
    </w:p>
    <w:p w:rsidR="0022576D" w:rsidRPr="0022576D" w:rsidRDefault="0022576D" w:rsidP="0022576D">
      <w:pPr>
        <w:pStyle w:val="Default"/>
        <w:numPr>
          <w:ilvl w:val="0"/>
          <w:numId w:val="24"/>
        </w:numPr>
      </w:pPr>
      <w:r w:rsidRPr="0022576D">
        <w:t xml:space="preserve">By country </w:t>
      </w:r>
    </w:p>
    <w:p w:rsidR="0022576D" w:rsidRPr="0022576D" w:rsidRDefault="0022576D" w:rsidP="0022576D">
      <w:pPr>
        <w:pStyle w:val="Default"/>
        <w:numPr>
          <w:ilvl w:val="0"/>
          <w:numId w:val="24"/>
        </w:numPr>
      </w:pPr>
      <w:r w:rsidRPr="0022576D">
        <w:t xml:space="preserve">By region </w:t>
      </w:r>
    </w:p>
    <w:p w:rsidR="0022576D" w:rsidRPr="0022576D" w:rsidRDefault="0022576D" w:rsidP="0022576D">
      <w:pPr>
        <w:pStyle w:val="Default"/>
        <w:numPr>
          <w:ilvl w:val="0"/>
          <w:numId w:val="24"/>
        </w:numPr>
      </w:pPr>
      <w:r w:rsidRPr="0022576D">
        <w:t xml:space="preserve">At Continent level </w:t>
      </w:r>
    </w:p>
    <w:p w:rsidR="0022576D" w:rsidRPr="0022576D" w:rsidRDefault="0022576D" w:rsidP="0022576D">
      <w:pPr>
        <w:pStyle w:val="Default"/>
      </w:pPr>
    </w:p>
    <w:p w:rsidR="0022576D" w:rsidRPr="0022576D" w:rsidRDefault="0022576D" w:rsidP="0022576D">
      <w:pPr>
        <w:pStyle w:val="Default"/>
      </w:pPr>
    </w:p>
    <w:p w:rsidR="0022576D" w:rsidRPr="0022576D" w:rsidRDefault="006512F7" w:rsidP="0022576D">
      <w:pPr>
        <w:pStyle w:val="Default"/>
      </w:pPr>
      <w:r>
        <w:t>3</w:t>
      </w:r>
      <w:r w:rsidR="0022576D" w:rsidRPr="0022576D">
        <w:t xml:space="preserve">. Identify </w:t>
      </w:r>
      <w:r>
        <w:t xml:space="preserve">approaches, strategies, actions and interventions that are put in place to address the identified nutrition issues </w:t>
      </w:r>
    </w:p>
    <w:p w:rsidR="0022576D" w:rsidRPr="0022576D" w:rsidRDefault="0022576D" w:rsidP="0022576D">
      <w:pPr>
        <w:pStyle w:val="Default"/>
        <w:numPr>
          <w:ilvl w:val="0"/>
          <w:numId w:val="23"/>
        </w:numPr>
      </w:pPr>
      <w:r w:rsidRPr="0022576D">
        <w:t xml:space="preserve">By Country </w:t>
      </w:r>
    </w:p>
    <w:p w:rsidR="0022576D" w:rsidRPr="0022576D" w:rsidRDefault="0022576D" w:rsidP="0022576D">
      <w:pPr>
        <w:pStyle w:val="Default"/>
        <w:numPr>
          <w:ilvl w:val="0"/>
          <w:numId w:val="23"/>
        </w:numPr>
      </w:pPr>
      <w:r w:rsidRPr="0022576D">
        <w:t xml:space="preserve">By Region </w:t>
      </w:r>
    </w:p>
    <w:p w:rsidR="0022576D" w:rsidRPr="0022576D" w:rsidRDefault="0022576D" w:rsidP="0022576D">
      <w:pPr>
        <w:pStyle w:val="Default"/>
        <w:numPr>
          <w:ilvl w:val="0"/>
          <w:numId w:val="23"/>
        </w:numPr>
      </w:pPr>
      <w:r w:rsidRPr="0022576D">
        <w:t xml:space="preserve">At Continental level </w:t>
      </w:r>
    </w:p>
    <w:p w:rsidR="0022576D" w:rsidRPr="0022576D" w:rsidRDefault="0022576D" w:rsidP="0022576D">
      <w:pPr>
        <w:pStyle w:val="Default"/>
      </w:pPr>
    </w:p>
    <w:p w:rsidR="0022576D" w:rsidRPr="0022576D" w:rsidRDefault="0022576D" w:rsidP="0022576D">
      <w:pPr>
        <w:pStyle w:val="Default"/>
      </w:pPr>
    </w:p>
    <w:p w:rsidR="006512F7" w:rsidRDefault="006512F7" w:rsidP="006512F7">
      <w:pPr>
        <w:pStyle w:val="Default"/>
      </w:pPr>
      <w:r>
        <w:t>4</w:t>
      </w:r>
      <w:r w:rsidRPr="0022576D">
        <w:t xml:space="preserve">. </w:t>
      </w:r>
      <w:r>
        <w:t xml:space="preserve">Identify </w:t>
      </w:r>
      <w:r w:rsidR="00FD16B9">
        <w:t xml:space="preserve">data and information gaps in </w:t>
      </w:r>
      <w:r>
        <w:t xml:space="preserve">existing regional and global nutrition reports and accountability mechanisms </w:t>
      </w:r>
    </w:p>
    <w:p w:rsidR="006512F7" w:rsidRPr="0022576D" w:rsidRDefault="006512F7" w:rsidP="006512F7">
      <w:pPr>
        <w:pStyle w:val="Default"/>
        <w:numPr>
          <w:ilvl w:val="0"/>
          <w:numId w:val="23"/>
        </w:numPr>
      </w:pPr>
      <w:r w:rsidRPr="0022576D">
        <w:t xml:space="preserve">By Region </w:t>
      </w:r>
    </w:p>
    <w:p w:rsidR="006512F7" w:rsidRDefault="006512F7" w:rsidP="006512F7">
      <w:pPr>
        <w:pStyle w:val="Default"/>
        <w:numPr>
          <w:ilvl w:val="0"/>
          <w:numId w:val="23"/>
        </w:numPr>
      </w:pPr>
      <w:r w:rsidRPr="0022576D">
        <w:t xml:space="preserve">At Continental level </w:t>
      </w:r>
    </w:p>
    <w:p w:rsidR="006512F7" w:rsidRPr="0022576D" w:rsidRDefault="006512F7" w:rsidP="006512F7">
      <w:pPr>
        <w:pStyle w:val="Default"/>
        <w:numPr>
          <w:ilvl w:val="0"/>
          <w:numId w:val="23"/>
        </w:numPr>
      </w:pPr>
      <w:r>
        <w:t xml:space="preserve">At </w:t>
      </w:r>
      <w:r w:rsidR="00FD16B9">
        <w:t xml:space="preserve">Global level </w:t>
      </w:r>
      <w:r>
        <w:t xml:space="preserve"> </w:t>
      </w:r>
    </w:p>
    <w:p w:rsidR="0022576D" w:rsidRPr="0022576D" w:rsidRDefault="0022576D" w:rsidP="0022576D">
      <w:pPr>
        <w:pStyle w:val="Default"/>
      </w:pPr>
    </w:p>
    <w:p w:rsidR="0022576D" w:rsidRPr="0022576D" w:rsidRDefault="0022576D" w:rsidP="0022576D">
      <w:pPr>
        <w:pStyle w:val="Default"/>
      </w:pPr>
    </w:p>
    <w:p w:rsidR="00FD16B9" w:rsidRDefault="00FD16B9" w:rsidP="00FD16B9">
      <w:pPr>
        <w:pStyle w:val="Default"/>
      </w:pPr>
      <w:r>
        <w:t>5</w:t>
      </w:r>
      <w:r w:rsidRPr="0022576D">
        <w:t xml:space="preserve">. </w:t>
      </w:r>
      <w:r>
        <w:t xml:space="preserve">Undertake a stakeholder consultation to build a consensus on the objectives, focus and content of the Africa Continental Nutrition Report </w:t>
      </w:r>
    </w:p>
    <w:p w:rsidR="00FD16B9" w:rsidRDefault="00FD16B9" w:rsidP="00FD16B9">
      <w:pPr>
        <w:pStyle w:val="Default"/>
      </w:pPr>
    </w:p>
    <w:p w:rsidR="00FD16B9" w:rsidRDefault="00FD16B9" w:rsidP="00FD16B9">
      <w:pPr>
        <w:pStyle w:val="Default"/>
      </w:pPr>
      <w:r>
        <w:t xml:space="preserve">6. Develop a reporting template to be filled by countries online to inform the continental report </w:t>
      </w:r>
    </w:p>
    <w:p w:rsidR="00FD16B9" w:rsidRDefault="00FD16B9" w:rsidP="00FD16B9">
      <w:pPr>
        <w:pStyle w:val="Default"/>
      </w:pPr>
    </w:p>
    <w:p w:rsidR="00FD16B9" w:rsidRDefault="00FD16B9" w:rsidP="00FD16B9">
      <w:pPr>
        <w:pStyle w:val="Default"/>
      </w:pPr>
      <w:r>
        <w:t>7. Prepare a fir</w:t>
      </w:r>
      <w:r w:rsidR="007706F1">
        <w:t xml:space="preserve">st continental nutrition report. </w:t>
      </w:r>
    </w:p>
    <w:p w:rsidR="00FD16B9" w:rsidRDefault="00FD16B9" w:rsidP="0022576D">
      <w:pPr>
        <w:pStyle w:val="Default"/>
        <w:rPr>
          <w:b/>
          <w:bCs/>
        </w:rPr>
      </w:pPr>
    </w:p>
    <w:p w:rsidR="00FD16B9" w:rsidRDefault="00FD16B9" w:rsidP="0022576D">
      <w:pPr>
        <w:pStyle w:val="Default"/>
        <w:rPr>
          <w:b/>
          <w:bCs/>
        </w:rPr>
      </w:pPr>
    </w:p>
    <w:p w:rsidR="0022576D" w:rsidRPr="0022576D" w:rsidRDefault="0022576D" w:rsidP="0022576D">
      <w:pPr>
        <w:pStyle w:val="Default"/>
      </w:pPr>
      <w:r w:rsidRPr="0022576D">
        <w:rPr>
          <w:b/>
          <w:bCs/>
        </w:rPr>
        <w:t xml:space="preserve">ACTIVITIES: </w:t>
      </w:r>
    </w:p>
    <w:p w:rsidR="0022576D" w:rsidRPr="0022576D" w:rsidRDefault="0022576D" w:rsidP="0022576D">
      <w:pPr>
        <w:pStyle w:val="Default"/>
      </w:pPr>
    </w:p>
    <w:p w:rsidR="0022576D" w:rsidRPr="0022576D" w:rsidRDefault="0022576D" w:rsidP="002778C3">
      <w:pPr>
        <w:pStyle w:val="Default"/>
        <w:jc w:val="both"/>
      </w:pPr>
      <w:r w:rsidRPr="0022576D">
        <w:t xml:space="preserve">Consultant should note: </w:t>
      </w:r>
    </w:p>
    <w:p w:rsidR="0022576D" w:rsidRPr="0022576D" w:rsidRDefault="0022576D" w:rsidP="002778C3">
      <w:pPr>
        <w:pStyle w:val="Default"/>
        <w:numPr>
          <w:ilvl w:val="0"/>
          <w:numId w:val="10"/>
        </w:numPr>
        <w:jc w:val="both"/>
      </w:pPr>
      <w:r w:rsidRPr="0022576D">
        <w:t xml:space="preserve">The annotated outline would be shared for comments, and this will serve as the Inception of the continent’s nutrition Status: beyond 2019. </w:t>
      </w:r>
    </w:p>
    <w:p w:rsidR="0022576D" w:rsidRPr="0022576D" w:rsidRDefault="0022576D" w:rsidP="002778C3">
      <w:pPr>
        <w:pStyle w:val="Default"/>
        <w:numPr>
          <w:ilvl w:val="0"/>
          <w:numId w:val="10"/>
        </w:numPr>
        <w:jc w:val="both"/>
      </w:pPr>
      <w:r w:rsidRPr="0022576D">
        <w:t xml:space="preserve"> Provide space and time for an interdisciplinary team to review the draft report on Nutrition, </w:t>
      </w:r>
    </w:p>
    <w:p w:rsidR="0022576D" w:rsidRPr="0022576D" w:rsidRDefault="0022576D" w:rsidP="002778C3">
      <w:pPr>
        <w:pStyle w:val="Default"/>
        <w:numPr>
          <w:ilvl w:val="0"/>
          <w:numId w:val="10"/>
        </w:numPr>
        <w:jc w:val="both"/>
      </w:pPr>
      <w:r w:rsidRPr="0022576D">
        <w:t>To benefit from consultations with AU and related institutions and also the UN family institutions, as relevant.</w:t>
      </w:r>
    </w:p>
    <w:p w:rsidR="0022576D" w:rsidRPr="0022576D" w:rsidRDefault="0022576D" w:rsidP="002778C3">
      <w:pPr>
        <w:pStyle w:val="Default"/>
        <w:numPr>
          <w:ilvl w:val="0"/>
          <w:numId w:val="10"/>
        </w:numPr>
        <w:jc w:val="both"/>
      </w:pPr>
      <w:r w:rsidRPr="0022576D">
        <w:t xml:space="preserve">The  team  is  under  the  supervision  of  the  Head  of  Division  of  Health,  Nutrition  and Population and will work in collaboration with the departments of DREA, HRST and the AU Development Agency (AUDA) </w:t>
      </w:r>
    </w:p>
    <w:p w:rsidR="0022576D" w:rsidRPr="0022576D" w:rsidRDefault="0022576D" w:rsidP="002778C3">
      <w:pPr>
        <w:pStyle w:val="Default"/>
        <w:numPr>
          <w:ilvl w:val="0"/>
          <w:numId w:val="10"/>
        </w:numPr>
        <w:jc w:val="both"/>
      </w:pPr>
      <w:r w:rsidRPr="0022576D">
        <w:t xml:space="preserve">Analysis   will   focus   on   the   status   of   implementation   of   various   continentally   and internationally agreed instruments, such as the </w:t>
      </w:r>
      <w:proofErr w:type="gramStart"/>
      <w:r w:rsidRPr="0022576D">
        <w:t>Agenda  2063</w:t>
      </w:r>
      <w:proofErr w:type="gramEnd"/>
      <w:r w:rsidRPr="0022576D">
        <w:t>, SDGs (2016-2030), the Malabo Commitments and  instruments  related  to  in Africa.</w:t>
      </w:r>
    </w:p>
    <w:p w:rsidR="0022576D" w:rsidRPr="0022576D" w:rsidRDefault="0022576D" w:rsidP="002778C3">
      <w:pPr>
        <w:pStyle w:val="Default"/>
        <w:numPr>
          <w:ilvl w:val="0"/>
          <w:numId w:val="10"/>
        </w:numPr>
        <w:jc w:val="both"/>
      </w:pPr>
      <w:r w:rsidRPr="0022576D">
        <w:t xml:space="preserve"> Experts will jointly produce a detailed outline of the Nutrition report which will be submitted to the Department of Social Affairs for consideration and approval.</w:t>
      </w:r>
    </w:p>
    <w:p w:rsidR="0022576D" w:rsidRPr="0022576D" w:rsidRDefault="0022576D" w:rsidP="002778C3">
      <w:pPr>
        <w:pStyle w:val="Default"/>
        <w:numPr>
          <w:ilvl w:val="0"/>
          <w:numId w:val="10"/>
        </w:numPr>
        <w:jc w:val="both"/>
      </w:pPr>
      <w:r w:rsidRPr="0022576D">
        <w:t>Executive Summary and the Conclusion/Recommendation sections should be done by all members to the team.</w:t>
      </w:r>
    </w:p>
    <w:p w:rsidR="0022576D" w:rsidRPr="0022576D" w:rsidRDefault="0022576D" w:rsidP="0022576D">
      <w:pPr>
        <w:pStyle w:val="Default"/>
        <w:rPr>
          <w:b/>
        </w:rPr>
      </w:pPr>
    </w:p>
    <w:p w:rsidR="0022576D" w:rsidRPr="0022576D" w:rsidRDefault="0022576D" w:rsidP="0022576D">
      <w:pPr>
        <w:pStyle w:val="Default"/>
        <w:rPr>
          <w:b/>
        </w:rPr>
      </w:pPr>
      <w:r w:rsidRPr="0022576D">
        <w:rPr>
          <w:b/>
        </w:rPr>
        <w:t>DELIVERABLES</w:t>
      </w:r>
    </w:p>
    <w:p w:rsidR="0022576D" w:rsidRPr="0022576D" w:rsidRDefault="0022576D" w:rsidP="0022576D">
      <w:pPr>
        <w:pStyle w:val="Default"/>
      </w:pPr>
    </w:p>
    <w:p w:rsidR="0022576D" w:rsidRPr="0022576D" w:rsidRDefault="0022576D" w:rsidP="002778C3">
      <w:pPr>
        <w:pStyle w:val="Default"/>
        <w:jc w:val="both"/>
      </w:pPr>
      <w:r w:rsidRPr="0022576D">
        <w:t>Following are key deliverables;</w:t>
      </w:r>
    </w:p>
    <w:p w:rsidR="0022576D" w:rsidRPr="0022576D" w:rsidRDefault="0022576D" w:rsidP="002778C3">
      <w:pPr>
        <w:pStyle w:val="Default"/>
        <w:numPr>
          <w:ilvl w:val="0"/>
          <w:numId w:val="22"/>
        </w:numPr>
        <w:jc w:val="both"/>
      </w:pPr>
      <w:r w:rsidRPr="0022576D">
        <w:t>Inception report with detailed work plan</w:t>
      </w:r>
    </w:p>
    <w:p w:rsidR="0022576D" w:rsidRPr="0022576D" w:rsidRDefault="0022576D" w:rsidP="002778C3">
      <w:pPr>
        <w:pStyle w:val="Default"/>
        <w:numPr>
          <w:ilvl w:val="0"/>
          <w:numId w:val="22"/>
        </w:numPr>
        <w:jc w:val="both"/>
      </w:pPr>
      <w:r w:rsidRPr="0022576D">
        <w:t xml:space="preserve">  Prepare a general outline of the Continental Nutrition Report and get it approved by the Department of Social Affairs; also prepare an action plan for the duration of the report writing assignment;</w:t>
      </w:r>
    </w:p>
    <w:p w:rsidR="0022576D" w:rsidRPr="0022576D" w:rsidRDefault="0022576D" w:rsidP="002778C3">
      <w:pPr>
        <w:pStyle w:val="Default"/>
        <w:numPr>
          <w:ilvl w:val="0"/>
          <w:numId w:val="22"/>
        </w:numPr>
        <w:jc w:val="both"/>
      </w:pPr>
      <w:r w:rsidRPr="0022576D">
        <w:t xml:space="preserve">  </w:t>
      </w:r>
      <w:proofErr w:type="spellStart"/>
      <w:r w:rsidRPr="0022576D">
        <w:t>Analyze</w:t>
      </w:r>
      <w:proofErr w:type="spellEnd"/>
      <w:r w:rsidRPr="0022576D">
        <w:t xml:space="preserve">  and  synthesize  data  on  nutrition  dynamics  relevant  to  the  development  of  the report.</w:t>
      </w:r>
    </w:p>
    <w:p w:rsidR="0022576D" w:rsidRPr="0022576D" w:rsidRDefault="0022576D" w:rsidP="002778C3">
      <w:pPr>
        <w:pStyle w:val="Default"/>
        <w:numPr>
          <w:ilvl w:val="0"/>
          <w:numId w:val="22"/>
        </w:numPr>
        <w:jc w:val="both"/>
      </w:pPr>
      <w:r w:rsidRPr="0022576D">
        <w:t>Elaborate recommendations/strategies in reference to the Malabo commitments, Agenda 2063 and SDGs</w:t>
      </w:r>
    </w:p>
    <w:p w:rsidR="0022576D" w:rsidRPr="0022576D" w:rsidRDefault="0022576D" w:rsidP="002778C3">
      <w:pPr>
        <w:pStyle w:val="Default"/>
        <w:numPr>
          <w:ilvl w:val="0"/>
          <w:numId w:val="22"/>
        </w:numPr>
        <w:jc w:val="both"/>
      </w:pPr>
      <w:r w:rsidRPr="0022576D">
        <w:lastRenderedPageBreak/>
        <w:t xml:space="preserve"> Perform any other duties related to the preparation of the nutrition report which may be assigned him/her by the Commissioner, Director of Social Affairs and the Head of Division for Health, Nutrition and Population.</w:t>
      </w:r>
    </w:p>
    <w:p w:rsidR="0022576D" w:rsidRPr="0022576D" w:rsidRDefault="0022576D" w:rsidP="0022576D">
      <w:pPr>
        <w:pStyle w:val="Default"/>
      </w:pPr>
    </w:p>
    <w:p w:rsidR="0022576D" w:rsidRPr="0022576D" w:rsidRDefault="0022576D" w:rsidP="0022576D">
      <w:pPr>
        <w:pStyle w:val="Default"/>
        <w:rPr>
          <w:b/>
        </w:rPr>
      </w:pPr>
      <w:r w:rsidRPr="0022576D">
        <w:rPr>
          <w:b/>
        </w:rPr>
        <w:t>QUALIFICATION AND EXPERIENCE</w:t>
      </w:r>
    </w:p>
    <w:p w:rsidR="0022576D" w:rsidRPr="0022576D" w:rsidRDefault="0022576D" w:rsidP="0022576D">
      <w:pPr>
        <w:pStyle w:val="Default"/>
      </w:pPr>
    </w:p>
    <w:p w:rsidR="0022576D" w:rsidRPr="007706F1" w:rsidRDefault="0022576D" w:rsidP="0022576D">
      <w:pPr>
        <w:pStyle w:val="Default"/>
        <w:rPr>
          <w:b/>
          <w:bCs/>
        </w:rPr>
      </w:pPr>
      <w:r w:rsidRPr="007706F1">
        <w:rPr>
          <w:b/>
          <w:bCs/>
        </w:rPr>
        <w:t>Education:</w:t>
      </w:r>
    </w:p>
    <w:p w:rsidR="0022576D" w:rsidRPr="0022576D" w:rsidRDefault="0022576D" w:rsidP="002778C3">
      <w:pPr>
        <w:pStyle w:val="Default"/>
        <w:jc w:val="both"/>
      </w:pPr>
    </w:p>
    <w:p w:rsidR="0022576D" w:rsidRPr="0022576D" w:rsidRDefault="0022576D" w:rsidP="002778C3">
      <w:pPr>
        <w:pStyle w:val="Default"/>
        <w:jc w:val="both"/>
      </w:pPr>
      <w:r w:rsidRPr="0022576D">
        <w:t>The consultant is required to possess the following qualifications and expertise:</w:t>
      </w:r>
    </w:p>
    <w:p w:rsidR="0022576D" w:rsidRPr="0022576D" w:rsidRDefault="0022576D" w:rsidP="002778C3">
      <w:pPr>
        <w:pStyle w:val="Default"/>
        <w:jc w:val="both"/>
      </w:pPr>
    </w:p>
    <w:p w:rsidR="00601A27" w:rsidRDefault="0022576D" w:rsidP="00601A27">
      <w:pPr>
        <w:pStyle w:val="Default"/>
        <w:numPr>
          <w:ilvl w:val="0"/>
          <w:numId w:val="21"/>
        </w:numPr>
        <w:jc w:val="both"/>
      </w:pPr>
      <w:r w:rsidRPr="0022576D">
        <w:t>At least a Master’ degree in health, nutrition, agriculture, or social sciences with expertise in food policy or nutrition issues.</w:t>
      </w:r>
    </w:p>
    <w:p w:rsidR="00FD16B9" w:rsidRDefault="00601A27" w:rsidP="00601A27">
      <w:pPr>
        <w:pStyle w:val="Default"/>
        <w:numPr>
          <w:ilvl w:val="0"/>
          <w:numId w:val="21"/>
        </w:numPr>
        <w:jc w:val="both"/>
      </w:pPr>
      <w:r>
        <w:t>A</w:t>
      </w:r>
      <w:r w:rsidRPr="00601A27">
        <w:t xml:space="preserve"> good k</w:t>
      </w:r>
      <w:r>
        <w:t xml:space="preserve">nowledge of Africa’s nutrition and food security challenges as well as </w:t>
      </w:r>
      <w:r w:rsidRPr="00601A27">
        <w:t xml:space="preserve">work experience at international level. </w:t>
      </w:r>
    </w:p>
    <w:p w:rsidR="00601A27" w:rsidRPr="00601A27" w:rsidRDefault="00FD16B9" w:rsidP="00601A27">
      <w:pPr>
        <w:pStyle w:val="Default"/>
        <w:numPr>
          <w:ilvl w:val="0"/>
          <w:numId w:val="21"/>
        </w:numPr>
        <w:jc w:val="both"/>
      </w:pPr>
      <w:r>
        <w:t>A</w:t>
      </w:r>
      <w:r w:rsidRPr="00601A27">
        <w:t xml:space="preserve"> </w:t>
      </w:r>
      <w:r w:rsidR="00601A27" w:rsidRPr="00601A27">
        <w:t xml:space="preserve">Ph.D. in the relevant area will be an added advantage </w:t>
      </w:r>
    </w:p>
    <w:p w:rsidR="0022576D" w:rsidRDefault="0022576D" w:rsidP="002778C3">
      <w:pPr>
        <w:pStyle w:val="Default"/>
        <w:jc w:val="both"/>
      </w:pPr>
    </w:p>
    <w:p w:rsidR="00D27368" w:rsidRDefault="00D27368" w:rsidP="002778C3">
      <w:pPr>
        <w:pStyle w:val="Default"/>
        <w:jc w:val="both"/>
      </w:pPr>
    </w:p>
    <w:p w:rsidR="0022576D" w:rsidRPr="007706F1" w:rsidRDefault="0022576D" w:rsidP="002778C3">
      <w:pPr>
        <w:pStyle w:val="Default"/>
        <w:jc w:val="both"/>
        <w:rPr>
          <w:b/>
          <w:bCs/>
        </w:rPr>
      </w:pPr>
      <w:r w:rsidRPr="007706F1">
        <w:rPr>
          <w:b/>
          <w:bCs/>
        </w:rPr>
        <w:t>Experience:</w:t>
      </w:r>
    </w:p>
    <w:p w:rsidR="0022576D" w:rsidRPr="0022576D" w:rsidRDefault="0022576D" w:rsidP="002778C3">
      <w:pPr>
        <w:pStyle w:val="Default"/>
        <w:jc w:val="both"/>
      </w:pPr>
    </w:p>
    <w:p w:rsidR="0022576D" w:rsidRPr="007706F1" w:rsidRDefault="0022576D" w:rsidP="002778C3">
      <w:pPr>
        <w:pStyle w:val="Default"/>
        <w:numPr>
          <w:ilvl w:val="0"/>
          <w:numId w:val="20"/>
        </w:numPr>
        <w:jc w:val="both"/>
      </w:pPr>
      <w:r w:rsidRPr="007706F1">
        <w:t>Minimum 10 years extensive experience in quantitative and qualitative research, data and policy analysis and development planning,</w:t>
      </w:r>
    </w:p>
    <w:p w:rsidR="0022576D" w:rsidRPr="007706F1" w:rsidRDefault="0022576D" w:rsidP="002778C3">
      <w:pPr>
        <w:pStyle w:val="Default"/>
        <w:numPr>
          <w:ilvl w:val="0"/>
          <w:numId w:val="18"/>
        </w:numPr>
        <w:jc w:val="both"/>
      </w:pPr>
      <w:r w:rsidRPr="007706F1">
        <w:t xml:space="preserve"> Minimum 10 years working in the area of nutrition science or related field</w:t>
      </w:r>
      <w:r w:rsidR="00FD16B9" w:rsidRPr="007706F1">
        <w:t xml:space="preserve"> with at least 5 years in Africa </w:t>
      </w:r>
    </w:p>
    <w:p w:rsidR="0022576D" w:rsidRPr="0022576D" w:rsidRDefault="0022576D" w:rsidP="002778C3">
      <w:pPr>
        <w:pStyle w:val="Default"/>
        <w:jc w:val="both"/>
      </w:pPr>
    </w:p>
    <w:p w:rsidR="0022576D" w:rsidRPr="0022576D" w:rsidRDefault="0022576D" w:rsidP="002778C3">
      <w:pPr>
        <w:pStyle w:val="Default"/>
        <w:jc w:val="both"/>
      </w:pPr>
      <w:r w:rsidRPr="0022576D">
        <w:t>Additional skills:</w:t>
      </w:r>
    </w:p>
    <w:p w:rsidR="0022576D" w:rsidRPr="0022576D" w:rsidRDefault="0022576D" w:rsidP="002778C3">
      <w:pPr>
        <w:pStyle w:val="Default"/>
        <w:jc w:val="both"/>
      </w:pPr>
    </w:p>
    <w:p w:rsidR="0022576D" w:rsidRPr="0022576D" w:rsidRDefault="0022576D" w:rsidP="002778C3">
      <w:pPr>
        <w:pStyle w:val="Default"/>
        <w:numPr>
          <w:ilvl w:val="0"/>
          <w:numId w:val="12"/>
        </w:numPr>
        <w:jc w:val="both"/>
      </w:pPr>
      <w:r w:rsidRPr="0022576D">
        <w:t>Analytical skills</w:t>
      </w:r>
    </w:p>
    <w:p w:rsidR="0022576D" w:rsidRPr="0022576D" w:rsidRDefault="0022576D" w:rsidP="002778C3">
      <w:pPr>
        <w:pStyle w:val="Default"/>
        <w:numPr>
          <w:ilvl w:val="0"/>
          <w:numId w:val="12"/>
        </w:numPr>
        <w:jc w:val="both"/>
      </w:pPr>
      <w:r w:rsidRPr="0022576D">
        <w:t xml:space="preserve"> Proficiency in English is a must. Knowledge of any of the other working languages of the AU would be an advantage</w:t>
      </w:r>
    </w:p>
    <w:p w:rsidR="0022576D" w:rsidRPr="0022576D" w:rsidRDefault="0022576D" w:rsidP="002778C3">
      <w:pPr>
        <w:pStyle w:val="Default"/>
        <w:numPr>
          <w:ilvl w:val="0"/>
          <w:numId w:val="12"/>
        </w:numPr>
        <w:jc w:val="both"/>
      </w:pPr>
      <w:r w:rsidRPr="0022576D">
        <w:t xml:space="preserve"> Computer  literacy  especially  with  respect  to  Power  Point,  Microsoft  Word,  Excel,  and Microsoft Publisher; </w:t>
      </w:r>
    </w:p>
    <w:p w:rsidR="0022576D" w:rsidRPr="0022576D" w:rsidRDefault="0022576D" w:rsidP="002778C3">
      <w:pPr>
        <w:pStyle w:val="Default"/>
        <w:numPr>
          <w:ilvl w:val="0"/>
          <w:numId w:val="12"/>
        </w:numPr>
        <w:jc w:val="both"/>
      </w:pPr>
      <w:r w:rsidRPr="0022576D">
        <w:t>Ability  to  work  with  sensitive  data  and  information  in  an  ethical,  confidential,  and trustworthy manner</w:t>
      </w:r>
    </w:p>
    <w:p w:rsidR="0022576D" w:rsidRPr="0022576D" w:rsidRDefault="0022576D" w:rsidP="002778C3">
      <w:pPr>
        <w:pStyle w:val="Default"/>
        <w:numPr>
          <w:ilvl w:val="0"/>
          <w:numId w:val="12"/>
        </w:numPr>
        <w:jc w:val="both"/>
      </w:pPr>
      <w:r w:rsidRPr="0022576D">
        <w:t xml:space="preserve"> Ability to work collaboratively on  a multi-disciplinary team</w:t>
      </w:r>
    </w:p>
    <w:p w:rsidR="0022576D" w:rsidRPr="0022576D" w:rsidRDefault="00FE0C70" w:rsidP="002778C3">
      <w:pPr>
        <w:pStyle w:val="Default"/>
        <w:numPr>
          <w:ilvl w:val="0"/>
          <w:numId w:val="12"/>
        </w:numPr>
        <w:jc w:val="both"/>
      </w:pPr>
      <w:r w:rsidRPr="0022576D">
        <w:t xml:space="preserve"> Demonstrated ability to analyse scientific data and publications, and effectively communicate scientific and technical information clearly and concisely, particularly in writing</w:t>
      </w:r>
    </w:p>
    <w:p w:rsidR="00FE0C70" w:rsidRPr="0022576D" w:rsidRDefault="0022576D" w:rsidP="002778C3">
      <w:pPr>
        <w:pStyle w:val="Default"/>
        <w:numPr>
          <w:ilvl w:val="0"/>
          <w:numId w:val="12"/>
        </w:numPr>
        <w:jc w:val="both"/>
      </w:pPr>
      <w:r w:rsidRPr="0022576D">
        <w:t>Demonstrated ability to collect, assess and compile and data from databases and other sources</w:t>
      </w:r>
    </w:p>
    <w:p w:rsidR="0022576D" w:rsidRPr="0022576D" w:rsidRDefault="0022576D" w:rsidP="002778C3">
      <w:pPr>
        <w:pStyle w:val="Default"/>
        <w:jc w:val="both"/>
      </w:pPr>
    </w:p>
    <w:p w:rsidR="0022576D" w:rsidRPr="0022576D" w:rsidRDefault="0022576D" w:rsidP="002778C3">
      <w:pPr>
        <w:pStyle w:val="Default"/>
        <w:jc w:val="both"/>
      </w:pPr>
    </w:p>
    <w:p w:rsidR="0022576D" w:rsidRPr="0022576D" w:rsidRDefault="0022576D" w:rsidP="002778C3">
      <w:pPr>
        <w:pStyle w:val="Default"/>
        <w:jc w:val="both"/>
        <w:rPr>
          <w:b/>
        </w:rPr>
      </w:pPr>
      <w:r w:rsidRPr="0022576D">
        <w:rPr>
          <w:b/>
        </w:rPr>
        <w:t>REPORTING</w:t>
      </w:r>
    </w:p>
    <w:p w:rsidR="0022576D" w:rsidRPr="0022576D" w:rsidRDefault="0022576D" w:rsidP="002778C3">
      <w:pPr>
        <w:pStyle w:val="Default"/>
        <w:jc w:val="both"/>
      </w:pPr>
      <w:r w:rsidRPr="0022576D">
        <w:t>For  the  purpose  of  execution  of  assignment,  the  Consultant  shall  report  to  the Director of Social Affair</w:t>
      </w:r>
      <w:r w:rsidR="00FD16B9">
        <w:t>s. Africa</w:t>
      </w:r>
      <w:r w:rsidR="009B5DAB">
        <w:t>n</w:t>
      </w:r>
      <w:r w:rsidR="00FD16B9">
        <w:t xml:space="preserve"> Union</w:t>
      </w:r>
      <w:r w:rsidRPr="0022576D">
        <w:t>.</w:t>
      </w:r>
    </w:p>
    <w:p w:rsidR="0022576D" w:rsidRPr="0022576D" w:rsidRDefault="0022576D" w:rsidP="002778C3">
      <w:pPr>
        <w:pStyle w:val="Default"/>
        <w:jc w:val="both"/>
        <w:rPr>
          <w:b/>
        </w:rPr>
      </w:pPr>
    </w:p>
    <w:p w:rsidR="00FD16B9" w:rsidRDefault="00FD16B9" w:rsidP="002778C3">
      <w:pPr>
        <w:pStyle w:val="Default"/>
        <w:jc w:val="both"/>
        <w:rPr>
          <w:b/>
        </w:rPr>
      </w:pPr>
    </w:p>
    <w:p w:rsidR="007706F1" w:rsidRDefault="007706F1" w:rsidP="002778C3">
      <w:pPr>
        <w:pStyle w:val="Default"/>
        <w:jc w:val="both"/>
        <w:rPr>
          <w:b/>
        </w:rPr>
      </w:pPr>
    </w:p>
    <w:p w:rsidR="007706F1" w:rsidRDefault="007706F1" w:rsidP="002778C3">
      <w:pPr>
        <w:pStyle w:val="Default"/>
        <w:jc w:val="both"/>
        <w:rPr>
          <w:b/>
        </w:rPr>
      </w:pPr>
    </w:p>
    <w:p w:rsidR="007706F1" w:rsidRDefault="007706F1" w:rsidP="002778C3">
      <w:pPr>
        <w:pStyle w:val="Default"/>
        <w:jc w:val="both"/>
        <w:rPr>
          <w:b/>
        </w:rPr>
      </w:pPr>
    </w:p>
    <w:p w:rsidR="007706F1" w:rsidRDefault="007706F1" w:rsidP="002778C3">
      <w:pPr>
        <w:pStyle w:val="Default"/>
        <w:jc w:val="both"/>
        <w:rPr>
          <w:b/>
        </w:rPr>
      </w:pPr>
    </w:p>
    <w:p w:rsidR="0022576D" w:rsidRPr="0022576D" w:rsidRDefault="0022576D" w:rsidP="007706F1">
      <w:pPr>
        <w:pStyle w:val="Default"/>
        <w:jc w:val="both"/>
        <w:rPr>
          <w:b/>
        </w:rPr>
      </w:pPr>
      <w:r w:rsidRPr="0022576D">
        <w:rPr>
          <w:b/>
        </w:rPr>
        <w:lastRenderedPageBreak/>
        <w:t xml:space="preserve">TIMEFRAME AND CONSULTANCY </w:t>
      </w:r>
      <w:r w:rsidR="007706F1">
        <w:rPr>
          <w:b/>
        </w:rPr>
        <w:t>FEE</w:t>
      </w:r>
    </w:p>
    <w:p w:rsidR="0022576D" w:rsidRPr="0022576D" w:rsidRDefault="0022576D" w:rsidP="002778C3">
      <w:pPr>
        <w:pStyle w:val="Default"/>
        <w:jc w:val="both"/>
        <w:rPr>
          <w:b/>
        </w:rPr>
      </w:pPr>
    </w:p>
    <w:p w:rsidR="0022576D" w:rsidRDefault="0022576D" w:rsidP="002778C3">
      <w:pPr>
        <w:pStyle w:val="Default"/>
        <w:jc w:val="both"/>
      </w:pPr>
      <w:r w:rsidRPr="0022576D">
        <w:t xml:space="preserve">The  consultant  must  be  ready  to  start  work  </w:t>
      </w:r>
      <w:r w:rsidR="002778C3">
        <w:t>immediately  upon  appointment.</w:t>
      </w:r>
      <w:r w:rsidR="00601A27">
        <w:t xml:space="preserve"> </w:t>
      </w:r>
      <w:r w:rsidR="00CB29D8">
        <w:t xml:space="preserve">The </w:t>
      </w:r>
      <w:r w:rsidRPr="0022576D">
        <w:t xml:space="preserve">maximum number of days allowable for the consultancy work shall </w:t>
      </w:r>
      <w:r w:rsidRPr="007706F1">
        <w:rPr>
          <w:b/>
          <w:bCs/>
        </w:rPr>
        <w:t>not exceed 66</w:t>
      </w:r>
      <w:r w:rsidRPr="0022576D">
        <w:t xml:space="preserve"> working days</w:t>
      </w:r>
      <w:r w:rsidR="007706F1">
        <w:t>.</w:t>
      </w:r>
    </w:p>
    <w:p w:rsidR="007706F1" w:rsidRDefault="007706F1" w:rsidP="002778C3">
      <w:pPr>
        <w:pStyle w:val="Default"/>
        <w:jc w:val="both"/>
      </w:pPr>
    </w:p>
    <w:p w:rsidR="007706F1" w:rsidRPr="007706F1" w:rsidRDefault="007706F1" w:rsidP="007706F1">
      <w:pPr>
        <w:pStyle w:val="Default"/>
        <w:jc w:val="both"/>
      </w:pPr>
      <w:r w:rsidRPr="007706F1">
        <w:t xml:space="preserve">The Commission will pay the consultant fixed fee of US$26,000 and cost for reimbursable shall be covered by the African Union Commission in accordance with AU rules and regulations. </w:t>
      </w:r>
    </w:p>
    <w:p w:rsidR="007706F1" w:rsidRPr="0022576D" w:rsidRDefault="007706F1" w:rsidP="002778C3">
      <w:pPr>
        <w:pStyle w:val="Default"/>
        <w:jc w:val="both"/>
      </w:pPr>
    </w:p>
    <w:p w:rsidR="0022576D" w:rsidRPr="0022576D" w:rsidRDefault="0022576D" w:rsidP="002778C3">
      <w:pPr>
        <w:pStyle w:val="Default"/>
        <w:jc w:val="both"/>
      </w:pPr>
    </w:p>
    <w:p w:rsidR="0022576D" w:rsidRPr="0022576D" w:rsidRDefault="0022576D" w:rsidP="002778C3">
      <w:pPr>
        <w:pStyle w:val="Default"/>
        <w:jc w:val="both"/>
        <w:rPr>
          <w:b/>
        </w:rPr>
      </w:pPr>
      <w:r w:rsidRPr="0022576D">
        <w:rPr>
          <w:b/>
        </w:rPr>
        <w:t>EVALUATION CRITERIA</w:t>
      </w:r>
    </w:p>
    <w:p w:rsidR="0022576D" w:rsidRPr="0022576D" w:rsidRDefault="0022576D" w:rsidP="002778C3">
      <w:pPr>
        <w:pStyle w:val="Default"/>
        <w:jc w:val="both"/>
      </w:pPr>
    </w:p>
    <w:p w:rsidR="0022576D" w:rsidRPr="0022576D" w:rsidRDefault="0022576D" w:rsidP="002778C3">
      <w:pPr>
        <w:pStyle w:val="Default"/>
        <w:jc w:val="both"/>
      </w:pPr>
      <w:r w:rsidRPr="0022576D">
        <w:t xml:space="preserve">The African Union Commission now invites eligible Individual Consultants to indicate their </w:t>
      </w:r>
      <w:r w:rsidR="002778C3">
        <w:t xml:space="preserve">interest in </w:t>
      </w:r>
      <w:r w:rsidR="00601A27">
        <w:t xml:space="preserve">providing </w:t>
      </w:r>
      <w:r w:rsidR="00CC40A5">
        <w:t xml:space="preserve">the </w:t>
      </w:r>
      <w:r w:rsidRPr="0022576D">
        <w:t>Services.   Interested  candidate  must  provide  information demonstrating  that  he/she  has  the  required  qualifications  and  relevant  experience  to perform the Services.  Consulting firms may propose individual consultant/s, but only the experience and qualifications of individual/s shall be used in the selection process, and that  his  or  her  corporate  experience  shall  not  be  taken  into  account,  and  the  contract would be signed with the proposed individual.</w:t>
      </w:r>
    </w:p>
    <w:p w:rsidR="0022576D" w:rsidRPr="0022576D" w:rsidRDefault="0022576D" w:rsidP="002778C3">
      <w:pPr>
        <w:pStyle w:val="Default"/>
        <w:jc w:val="both"/>
      </w:pPr>
    </w:p>
    <w:p w:rsidR="0022576D" w:rsidRPr="0022576D" w:rsidRDefault="0022576D" w:rsidP="002778C3">
      <w:pPr>
        <w:pStyle w:val="Default"/>
        <w:jc w:val="both"/>
      </w:pPr>
      <w:r w:rsidRPr="0022576D">
        <w:t>For evaluation of the expressions of interest the following criteria will be applied:</w:t>
      </w:r>
    </w:p>
    <w:p w:rsidR="0022576D" w:rsidRPr="0022576D" w:rsidRDefault="0022576D" w:rsidP="002778C3">
      <w:pPr>
        <w:pStyle w:val="Default"/>
        <w:jc w:val="both"/>
      </w:pPr>
    </w:p>
    <w:p w:rsidR="0022576D" w:rsidRPr="0022576D" w:rsidRDefault="0022576D" w:rsidP="002778C3">
      <w:pPr>
        <w:pStyle w:val="Default"/>
        <w:jc w:val="both"/>
      </w:pPr>
      <w:r w:rsidRPr="0022576D">
        <w:t>a)   General Education Qualification and Relevant Training (20 points);</w:t>
      </w:r>
    </w:p>
    <w:p w:rsidR="00FD16B9" w:rsidRDefault="0022576D" w:rsidP="002778C3">
      <w:pPr>
        <w:pStyle w:val="Default"/>
        <w:jc w:val="both"/>
      </w:pPr>
      <w:r w:rsidRPr="0022576D">
        <w:t xml:space="preserve">b)   Experience Related to the Assignment (30 points); </w:t>
      </w:r>
    </w:p>
    <w:p w:rsidR="00FD16B9" w:rsidRDefault="0022576D" w:rsidP="002778C3">
      <w:pPr>
        <w:pStyle w:val="Default"/>
        <w:jc w:val="both"/>
      </w:pPr>
      <w:r w:rsidRPr="0022576D">
        <w:t>c)   Technical approach and methodology (40 points)</w:t>
      </w:r>
      <w:r w:rsidR="00FD16B9">
        <w:t>;</w:t>
      </w:r>
      <w:r w:rsidRPr="0022576D">
        <w:t xml:space="preserve"> </w:t>
      </w:r>
    </w:p>
    <w:p w:rsidR="0022576D" w:rsidRPr="0022576D" w:rsidRDefault="0022576D" w:rsidP="007706F1">
      <w:pPr>
        <w:pStyle w:val="Default"/>
        <w:jc w:val="both"/>
      </w:pPr>
      <w:r w:rsidRPr="0022576D">
        <w:t>d)   Work plan (10 points)</w:t>
      </w:r>
      <w:r w:rsidR="007706F1">
        <w:t xml:space="preserve"> </w:t>
      </w:r>
    </w:p>
    <w:p w:rsidR="0022576D" w:rsidRPr="0022576D" w:rsidRDefault="0022576D" w:rsidP="002778C3">
      <w:pPr>
        <w:pStyle w:val="Default"/>
        <w:jc w:val="both"/>
      </w:pPr>
    </w:p>
    <w:p w:rsidR="0022576D" w:rsidRPr="0022576D" w:rsidRDefault="0022576D" w:rsidP="002778C3">
      <w:pPr>
        <w:pStyle w:val="Default"/>
        <w:jc w:val="both"/>
      </w:pPr>
      <w:r w:rsidRPr="0022576D">
        <w:t>Interested  candidates  are  requested  to  submit  the  following  documents  for  AUC’s</w:t>
      </w:r>
    </w:p>
    <w:p w:rsidR="0022576D" w:rsidRPr="0022576D" w:rsidRDefault="0022576D" w:rsidP="002778C3">
      <w:pPr>
        <w:pStyle w:val="Default"/>
        <w:jc w:val="both"/>
      </w:pPr>
      <w:proofErr w:type="gramStart"/>
      <w:r w:rsidRPr="0022576D">
        <w:t>consideration</w:t>
      </w:r>
      <w:proofErr w:type="gramEnd"/>
      <w:r w:rsidRPr="0022576D">
        <w:t xml:space="preserve"> as an attachment to the CVs:</w:t>
      </w:r>
    </w:p>
    <w:p w:rsidR="0022576D" w:rsidRPr="0022576D" w:rsidRDefault="0022576D" w:rsidP="002778C3">
      <w:pPr>
        <w:pStyle w:val="Default"/>
        <w:jc w:val="both"/>
      </w:pPr>
    </w:p>
    <w:p w:rsidR="0022576D" w:rsidRPr="0022576D" w:rsidRDefault="0022576D" w:rsidP="002778C3">
      <w:pPr>
        <w:pStyle w:val="Default"/>
        <w:jc w:val="both"/>
      </w:pPr>
      <w:r w:rsidRPr="0022576D">
        <w:t>a)   Technical Proposal on:</w:t>
      </w:r>
    </w:p>
    <w:p w:rsidR="0022576D" w:rsidRPr="0022576D" w:rsidRDefault="0022576D" w:rsidP="002778C3">
      <w:pPr>
        <w:pStyle w:val="Default"/>
        <w:numPr>
          <w:ilvl w:val="0"/>
          <w:numId w:val="14"/>
        </w:numPr>
        <w:jc w:val="both"/>
      </w:pPr>
      <w:r w:rsidRPr="0022576D">
        <w:t>understanding and interpretation of the TOR</w:t>
      </w:r>
    </w:p>
    <w:p w:rsidR="0022576D" w:rsidRPr="0022576D" w:rsidRDefault="0022576D" w:rsidP="002778C3">
      <w:pPr>
        <w:pStyle w:val="Default"/>
        <w:numPr>
          <w:ilvl w:val="0"/>
          <w:numId w:val="14"/>
        </w:numPr>
        <w:jc w:val="both"/>
      </w:pPr>
      <w:r w:rsidRPr="0022576D">
        <w:t>methodology to be used in undertaking the assignment</w:t>
      </w:r>
    </w:p>
    <w:p w:rsidR="0022576D" w:rsidRPr="0022576D" w:rsidRDefault="0022576D" w:rsidP="002778C3">
      <w:pPr>
        <w:pStyle w:val="Default"/>
        <w:numPr>
          <w:ilvl w:val="0"/>
          <w:numId w:val="14"/>
        </w:numPr>
        <w:jc w:val="both"/>
      </w:pPr>
      <w:r w:rsidRPr="0022576D">
        <w:t>time and activity schedule</w:t>
      </w:r>
    </w:p>
    <w:p w:rsidR="0022576D" w:rsidRPr="0022576D" w:rsidRDefault="0022576D" w:rsidP="002778C3">
      <w:pPr>
        <w:pStyle w:val="Default"/>
        <w:jc w:val="both"/>
      </w:pPr>
    </w:p>
    <w:p w:rsidR="0022576D" w:rsidRPr="0022576D" w:rsidRDefault="0022576D" w:rsidP="002778C3">
      <w:pPr>
        <w:pStyle w:val="Default"/>
        <w:jc w:val="both"/>
      </w:pPr>
    </w:p>
    <w:p w:rsidR="0022576D" w:rsidRDefault="0022576D" w:rsidP="002778C3">
      <w:pPr>
        <w:pStyle w:val="Default"/>
        <w:jc w:val="both"/>
      </w:pPr>
      <w:r w:rsidRPr="0022576D">
        <w:t xml:space="preserve">Further  information  can  be  obtained  at  the  address  below  during  office  hours  8:00-13:00hrs and 14:00-17:00 hours Local Time. </w:t>
      </w:r>
    </w:p>
    <w:p w:rsidR="007706F1" w:rsidRPr="0022576D" w:rsidRDefault="007706F1" w:rsidP="002778C3">
      <w:pPr>
        <w:pStyle w:val="Default"/>
        <w:jc w:val="both"/>
      </w:pPr>
    </w:p>
    <w:p w:rsidR="0022576D" w:rsidRPr="0022576D" w:rsidRDefault="0022576D" w:rsidP="007706F1">
      <w:pPr>
        <w:pStyle w:val="Default"/>
        <w:jc w:val="both"/>
      </w:pPr>
      <w:r w:rsidRPr="0022576D">
        <w:t xml:space="preserve">Proposal must be delivered in a written form to the address below not later than 15:00 </w:t>
      </w:r>
      <w:proofErr w:type="gramStart"/>
      <w:r w:rsidRPr="0022576D">
        <w:t>hours</w:t>
      </w:r>
      <w:proofErr w:type="gramEnd"/>
      <w:r w:rsidRPr="0022576D">
        <w:t xml:space="preserve"> local time, </w:t>
      </w:r>
      <w:r w:rsidR="007706F1">
        <w:t>September 27,</w:t>
      </w:r>
      <w:r w:rsidRPr="0022576D">
        <w:t xml:space="preserve"> 2019</w:t>
      </w:r>
      <w:r w:rsidR="007706F1">
        <w:t>.</w:t>
      </w:r>
    </w:p>
    <w:p w:rsidR="0022576D" w:rsidRPr="0022576D" w:rsidRDefault="0022576D" w:rsidP="002778C3">
      <w:pPr>
        <w:pStyle w:val="Default"/>
        <w:jc w:val="both"/>
      </w:pPr>
    </w:p>
    <w:p w:rsidR="0022576D" w:rsidRPr="007706F1" w:rsidRDefault="0022576D" w:rsidP="002778C3">
      <w:pPr>
        <w:pStyle w:val="Default"/>
        <w:jc w:val="both"/>
      </w:pPr>
      <w:r w:rsidRPr="007706F1">
        <w:t>African Union Commission,</w:t>
      </w:r>
    </w:p>
    <w:p w:rsidR="0022576D" w:rsidRPr="007706F1" w:rsidRDefault="0022576D" w:rsidP="002778C3">
      <w:pPr>
        <w:pStyle w:val="Default"/>
        <w:jc w:val="both"/>
      </w:pPr>
      <w:r w:rsidRPr="007706F1">
        <w:t>Attn: Carine Toure Yemitia (Mrs.)</w:t>
      </w:r>
    </w:p>
    <w:p w:rsidR="0022576D" w:rsidRPr="007706F1" w:rsidRDefault="0022576D" w:rsidP="002778C3">
      <w:pPr>
        <w:pStyle w:val="Default"/>
        <w:jc w:val="both"/>
      </w:pPr>
      <w:r w:rsidRPr="007706F1">
        <w:t>Head of Procurement Travel and Store Division</w:t>
      </w:r>
    </w:p>
    <w:p w:rsidR="0022576D" w:rsidRPr="007706F1" w:rsidRDefault="0022576D" w:rsidP="002778C3">
      <w:pPr>
        <w:pStyle w:val="Default"/>
        <w:jc w:val="both"/>
      </w:pPr>
      <w:r w:rsidRPr="007706F1">
        <w:t>Building C, Room 327</w:t>
      </w:r>
    </w:p>
    <w:p w:rsidR="0022576D" w:rsidRPr="007706F1" w:rsidRDefault="0022576D" w:rsidP="002778C3">
      <w:pPr>
        <w:pStyle w:val="Default"/>
        <w:jc w:val="both"/>
      </w:pPr>
      <w:r w:rsidRPr="007706F1">
        <w:t>P.O.Box 3243, Roosevelt Street</w:t>
      </w:r>
    </w:p>
    <w:p w:rsidR="0022576D" w:rsidRPr="007706F1" w:rsidRDefault="0022576D" w:rsidP="002778C3">
      <w:pPr>
        <w:pStyle w:val="Default"/>
        <w:jc w:val="both"/>
      </w:pPr>
      <w:r w:rsidRPr="007706F1">
        <w:t>Addis Ababa, Ethiopia</w:t>
      </w:r>
    </w:p>
    <w:p w:rsidR="0022576D" w:rsidRPr="0022576D" w:rsidRDefault="0022576D" w:rsidP="007706F1">
      <w:pPr>
        <w:pStyle w:val="Default"/>
        <w:jc w:val="both"/>
      </w:pPr>
      <w:r w:rsidRPr="007706F1">
        <w:t>E-mail: tender@africa-union.org</w:t>
      </w:r>
    </w:p>
    <w:sectPr w:rsidR="0022576D" w:rsidRPr="00225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7AE"/>
    <w:multiLevelType w:val="hybridMultilevel"/>
    <w:tmpl w:val="69509DC8"/>
    <w:lvl w:ilvl="0" w:tplc="CAD8648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71B4"/>
    <w:multiLevelType w:val="hybridMultilevel"/>
    <w:tmpl w:val="49E41934"/>
    <w:lvl w:ilvl="0" w:tplc="793E9FC2">
      <w:start w:val="1"/>
      <w:numFmt w:val="decimal"/>
      <w:lvlText w:val="%1."/>
      <w:lvlJc w:val="left"/>
      <w:pPr>
        <w:ind w:left="816" w:hanging="4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6822DD"/>
    <w:multiLevelType w:val="hybridMultilevel"/>
    <w:tmpl w:val="C9BA9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537AA8"/>
    <w:multiLevelType w:val="hybridMultilevel"/>
    <w:tmpl w:val="99C0E82A"/>
    <w:lvl w:ilvl="0" w:tplc="08090005">
      <w:start w:val="1"/>
      <w:numFmt w:val="bullet"/>
      <w:lvlText w:val=""/>
      <w:lvlJc w:val="left"/>
      <w:pPr>
        <w:ind w:left="720" w:hanging="360"/>
      </w:pPr>
      <w:rPr>
        <w:rFonts w:ascii="Wingdings" w:hAnsi="Wingdings" w:hint="default"/>
      </w:rPr>
    </w:lvl>
    <w:lvl w:ilvl="1" w:tplc="132823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12D27"/>
    <w:multiLevelType w:val="hybridMultilevel"/>
    <w:tmpl w:val="9440F332"/>
    <w:lvl w:ilvl="0" w:tplc="08090005">
      <w:start w:val="1"/>
      <w:numFmt w:val="bullet"/>
      <w:lvlText w:val=""/>
      <w:lvlJc w:val="left"/>
      <w:pPr>
        <w:ind w:left="792" w:hanging="360"/>
      </w:pPr>
      <w:rPr>
        <w:rFonts w:ascii="Wingdings" w:hAnsi="Wingdings" w:hint="default"/>
      </w:rPr>
    </w:lvl>
    <w:lvl w:ilvl="1" w:tplc="6C822C9E">
      <w:start w:val="2"/>
      <w:numFmt w:val="bullet"/>
      <w:lvlText w:val=""/>
      <w:lvlJc w:val="left"/>
      <w:pPr>
        <w:ind w:left="1512" w:hanging="360"/>
      </w:pPr>
      <w:rPr>
        <w:rFonts w:ascii="Arial" w:eastAsiaTheme="minorHAnsi" w:hAnsi="Arial" w:cs="Arial"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nsid w:val="1A933FBD"/>
    <w:multiLevelType w:val="hybridMultilevel"/>
    <w:tmpl w:val="FAD8B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DC0C31"/>
    <w:multiLevelType w:val="hybridMultilevel"/>
    <w:tmpl w:val="1620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83D84"/>
    <w:multiLevelType w:val="hybridMultilevel"/>
    <w:tmpl w:val="7C86A420"/>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nsid w:val="331749DB"/>
    <w:multiLevelType w:val="hybridMultilevel"/>
    <w:tmpl w:val="6C1A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77F46"/>
    <w:multiLevelType w:val="hybridMultilevel"/>
    <w:tmpl w:val="7FEABC3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B303AC"/>
    <w:multiLevelType w:val="multilevel"/>
    <w:tmpl w:val="0D780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A03DD0"/>
    <w:multiLevelType w:val="hybridMultilevel"/>
    <w:tmpl w:val="1B0E57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BE676A"/>
    <w:multiLevelType w:val="hybridMultilevel"/>
    <w:tmpl w:val="0D248096"/>
    <w:lvl w:ilvl="0" w:tplc="6F70B7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C3101E"/>
    <w:multiLevelType w:val="hybridMultilevel"/>
    <w:tmpl w:val="FADC7D0C"/>
    <w:lvl w:ilvl="0" w:tplc="08090005">
      <w:start w:val="1"/>
      <w:numFmt w:val="bullet"/>
      <w:lvlText w:val=""/>
      <w:lvlJc w:val="left"/>
      <w:pPr>
        <w:ind w:left="852" w:hanging="360"/>
      </w:pPr>
      <w:rPr>
        <w:rFonts w:ascii="Wingdings" w:hAnsi="Wingdings"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4">
    <w:nsid w:val="44C44397"/>
    <w:multiLevelType w:val="hybridMultilevel"/>
    <w:tmpl w:val="D4A8EC54"/>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nsid w:val="50453930"/>
    <w:multiLevelType w:val="hybridMultilevel"/>
    <w:tmpl w:val="DD92A4D4"/>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nsid w:val="515614B9"/>
    <w:multiLevelType w:val="hybridMultilevel"/>
    <w:tmpl w:val="5B8692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F3203B"/>
    <w:multiLevelType w:val="hybridMultilevel"/>
    <w:tmpl w:val="AD80AD6C"/>
    <w:lvl w:ilvl="0" w:tplc="85F0D0C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083C99"/>
    <w:multiLevelType w:val="hybridMultilevel"/>
    <w:tmpl w:val="C050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12789"/>
    <w:multiLevelType w:val="hybridMultilevel"/>
    <w:tmpl w:val="FFA28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F221D5"/>
    <w:multiLevelType w:val="hybridMultilevel"/>
    <w:tmpl w:val="D930B3B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04771C"/>
    <w:multiLevelType w:val="hybridMultilevel"/>
    <w:tmpl w:val="73E0B5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2D138E"/>
    <w:multiLevelType w:val="hybridMultilevel"/>
    <w:tmpl w:val="EAAE9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341AC4"/>
    <w:multiLevelType w:val="hybridMultilevel"/>
    <w:tmpl w:val="2C9E0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7F38C2"/>
    <w:multiLevelType w:val="hybridMultilevel"/>
    <w:tmpl w:val="5860D2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CA40D3"/>
    <w:multiLevelType w:val="hybridMultilevel"/>
    <w:tmpl w:val="236C39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B077DF"/>
    <w:multiLevelType w:val="hybridMultilevel"/>
    <w:tmpl w:val="CDB408DA"/>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nsid w:val="6FD63DA8"/>
    <w:multiLevelType w:val="hybridMultilevel"/>
    <w:tmpl w:val="2B4C8F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A16FD1"/>
    <w:multiLevelType w:val="hybridMultilevel"/>
    <w:tmpl w:val="D65AF9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25"/>
  </w:num>
  <w:num w:numId="5">
    <w:abstractNumId w:val="24"/>
  </w:num>
  <w:num w:numId="6">
    <w:abstractNumId w:val="23"/>
  </w:num>
  <w:num w:numId="7">
    <w:abstractNumId w:val="9"/>
  </w:num>
  <w:num w:numId="8">
    <w:abstractNumId w:val="2"/>
  </w:num>
  <w:num w:numId="9">
    <w:abstractNumId w:val="26"/>
  </w:num>
  <w:num w:numId="10">
    <w:abstractNumId w:val="11"/>
  </w:num>
  <w:num w:numId="11">
    <w:abstractNumId w:val="22"/>
  </w:num>
  <w:num w:numId="12">
    <w:abstractNumId w:val="16"/>
  </w:num>
  <w:num w:numId="13">
    <w:abstractNumId w:val="17"/>
  </w:num>
  <w:num w:numId="14">
    <w:abstractNumId w:val="3"/>
  </w:num>
  <w:num w:numId="15">
    <w:abstractNumId w:val="12"/>
  </w:num>
  <w:num w:numId="16">
    <w:abstractNumId w:val="20"/>
  </w:num>
  <w:num w:numId="17">
    <w:abstractNumId w:val="19"/>
  </w:num>
  <w:num w:numId="18">
    <w:abstractNumId w:val="21"/>
  </w:num>
  <w:num w:numId="19">
    <w:abstractNumId w:val="1"/>
  </w:num>
  <w:num w:numId="20">
    <w:abstractNumId w:val="28"/>
  </w:num>
  <w:num w:numId="21">
    <w:abstractNumId w:val="15"/>
  </w:num>
  <w:num w:numId="22">
    <w:abstractNumId w:val="13"/>
  </w:num>
  <w:num w:numId="23">
    <w:abstractNumId w:val="14"/>
  </w:num>
  <w:num w:numId="24">
    <w:abstractNumId w:val="7"/>
  </w:num>
  <w:num w:numId="25">
    <w:abstractNumId w:val="27"/>
  </w:num>
  <w:num w:numId="26">
    <w:abstractNumId w:val="0"/>
  </w:num>
  <w:num w:numId="27">
    <w:abstractNumId w:val="6"/>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64"/>
    <w:rsid w:val="00083B78"/>
    <w:rsid w:val="000B19C2"/>
    <w:rsid w:val="00106DFB"/>
    <w:rsid w:val="0011218C"/>
    <w:rsid w:val="0013332E"/>
    <w:rsid w:val="001D5B98"/>
    <w:rsid w:val="002210A0"/>
    <w:rsid w:val="0022576D"/>
    <w:rsid w:val="00264EE2"/>
    <w:rsid w:val="002778C3"/>
    <w:rsid w:val="00377102"/>
    <w:rsid w:val="004C3757"/>
    <w:rsid w:val="004D5598"/>
    <w:rsid w:val="00601A27"/>
    <w:rsid w:val="00645423"/>
    <w:rsid w:val="006512F7"/>
    <w:rsid w:val="006C73D4"/>
    <w:rsid w:val="00760FF0"/>
    <w:rsid w:val="007706F1"/>
    <w:rsid w:val="00784D89"/>
    <w:rsid w:val="007A4A5C"/>
    <w:rsid w:val="007C7ECA"/>
    <w:rsid w:val="007F1227"/>
    <w:rsid w:val="00817671"/>
    <w:rsid w:val="008234FF"/>
    <w:rsid w:val="008D75B0"/>
    <w:rsid w:val="00926C86"/>
    <w:rsid w:val="009B2F63"/>
    <w:rsid w:val="009B5DAB"/>
    <w:rsid w:val="009E7BAF"/>
    <w:rsid w:val="00A75122"/>
    <w:rsid w:val="00BB0F6B"/>
    <w:rsid w:val="00BF28A2"/>
    <w:rsid w:val="00BF40AE"/>
    <w:rsid w:val="00CA45A6"/>
    <w:rsid w:val="00CB29D8"/>
    <w:rsid w:val="00CC40A5"/>
    <w:rsid w:val="00D20E64"/>
    <w:rsid w:val="00D27368"/>
    <w:rsid w:val="00D34597"/>
    <w:rsid w:val="00D86602"/>
    <w:rsid w:val="00DF5C6F"/>
    <w:rsid w:val="00E351F8"/>
    <w:rsid w:val="00E44C2B"/>
    <w:rsid w:val="00EC334A"/>
    <w:rsid w:val="00F10C07"/>
    <w:rsid w:val="00F77FAC"/>
    <w:rsid w:val="00F861B9"/>
    <w:rsid w:val="00FD16B9"/>
    <w:rsid w:val="00FD2A3B"/>
    <w:rsid w:val="00FE0C7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C28C8-4E1E-46F9-A837-4A0FEA4A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E6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0C70"/>
    <w:pPr>
      <w:ind w:left="720"/>
      <w:contextualSpacing/>
    </w:pPr>
  </w:style>
  <w:style w:type="character" w:styleId="CommentReference">
    <w:name w:val="annotation reference"/>
    <w:basedOn w:val="DefaultParagraphFont"/>
    <w:uiPriority w:val="99"/>
    <w:semiHidden/>
    <w:unhideWhenUsed/>
    <w:rsid w:val="002210A0"/>
    <w:rPr>
      <w:sz w:val="16"/>
      <w:szCs w:val="16"/>
    </w:rPr>
  </w:style>
  <w:style w:type="paragraph" w:styleId="CommentText">
    <w:name w:val="annotation text"/>
    <w:basedOn w:val="Normal"/>
    <w:link w:val="CommentTextChar"/>
    <w:uiPriority w:val="99"/>
    <w:semiHidden/>
    <w:unhideWhenUsed/>
    <w:rsid w:val="002210A0"/>
    <w:pPr>
      <w:spacing w:line="240" w:lineRule="auto"/>
    </w:pPr>
    <w:rPr>
      <w:sz w:val="20"/>
      <w:szCs w:val="20"/>
    </w:rPr>
  </w:style>
  <w:style w:type="character" w:customStyle="1" w:styleId="CommentTextChar">
    <w:name w:val="Comment Text Char"/>
    <w:basedOn w:val="DefaultParagraphFont"/>
    <w:link w:val="CommentText"/>
    <w:uiPriority w:val="99"/>
    <w:semiHidden/>
    <w:rsid w:val="002210A0"/>
    <w:rPr>
      <w:sz w:val="20"/>
      <w:szCs w:val="20"/>
    </w:rPr>
  </w:style>
  <w:style w:type="paragraph" w:styleId="CommentSubject">
    <w:name w:val="annotation subject"/>
    <w:basedOn w:val="CommentText"/>
    <w:next w:val="CommentText"/>
    <w:link w:val="CommentSubjectChar"/>
    <w:uiPriority w:val="99"/>
    <w:semiHidden/>
    <w:unhideWhenUsed/>
    <w:rsid w:val="002210A0"/>
    <w:rPr>
      <w:b/>
      <w:bCs/>
    </w:rPr>
  </w:style>
  <w:style w:type="character" w:customStyle="1" w:styleId="CommentSubjectChar">
    <w:name w:val="Comment Subject Char"/>
    <w:basedOn w:val="CommentTextChar"/>
    <w:link w:val="CommentSubject"/>
    <w:uiPriority w:val="99"/>
    <w:semiHidden/>
    <w:rsid w:val="002210A0"/>
    <w:rPr>
      <w:b/>
      <w:bCs/>
      <w:sz w:val="20"/>
      <w:szCs w:val="20"/>
    </w:rPr>
  </w:style>
  <w:style w:type="paragraph" w:styleId="BalloonText">
    <w:name w:val="Balloon Text"/>
    <w:basedOn w:val="Normal"/>
    <w:link w:val="BalloonTextChar"/>
    <w:uiPriority w:val="99"/>
    <w:semiHidden/>
    <w:unhideWhenUsed/>
    <w:rsid w:val="00221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Ninsiima Mugisha</dc:creator>
  <cp:keywords/>
  <dc:description/>
  <cp:lastModifiedBy>Tarik Abdulaziz Sherif</cp:lastModifiedBy>
  <cp:revision>2</cp:revision>
  <cp:lastPrinted>2019-05-06T11:53:00Z</cp:lastPrinted>
  <dcterms:created xsi:type="dcterms:W3CDTF">2019-09-11T13:20:00Z</dcterms:created>
  <dcterms:modified xsi:type="dcterms:W3CDTF">2019-09-11T13:20:00Z</dcterms:modified>
</cp:coreProperties>
</file>